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AD69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200" w:firstLineChars="500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第二讲  缺铁性贫血</w:t>
      </w:r>
    </w:p>
    <w:p w14:paraId="20F53A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80" w:firstLineChars="4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福建医科大学附属协和医院    施晓芸 </w:t>
      </w:r>
    </w:p>
    <w:p w14:paraId="3584FC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49BA22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一、定义  </w:t>
      </w:r>
    </w:p>
    <w:p w14:paraId="2377EF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铁缺乏症（ID）分为绝对性ID和功能性ID。绝对性铁缺乏症可分为三个阶段：储铁缺乏、缺铁性红细胞生成（IDE）和IDA；功能性铁缺乏症指体内铁储备充足，铁从储存池释放障碍导致IDE和贫血，通常出现在患有复杂内、外科疾病的患者，感染高风险地区的人群以及接受重组人促红细胞生成素（rEPO）治疗的人群。营养状态差的情况下，绝对性ID和功能性ID经常伴发；营养及医疗条件好的情况下，功能性ID通常发生在慢性疾病，如心力衰竭、慢性肾脏疾病等。 </w:t>
      </w:r>
    </w:p>
    <w:p w14:paraId="0C729F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缺铁性贫血（IDA）是因铁缺乏导致血红蛋白合成减少的小细胞低色素性贫血，是最常见的贫血类型，占全球贫血患者的60%以上。我国数据显示，成年女性IDA患病率高达43%，孕妇达67%，儿童及育龄期女性亦为高发人群。长期贫血可引发贫血性心脏病、儿童发育迟缓等严重并发症，已成为我国重大公共卫生问题。 </w:t>
      </w:r>
    </w:p>
    <w:p w14:paraId="3E45B7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二、病因与高危人群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 w14:paraId="1D38FA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IDA的核心机制是“铁需求与供给失衡”，具体原因包括：  </w:t>
      </w:r>
    </w:p>
    <w:p w14:paraId="1A7F0D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1. 铁摄入不足：长期素食、偏食或消化道疾病（如克罗恩病）导致铁吸收障碍。  </w:t>
      </w:r>
    </w:p>
    <w:p w14:paraId="73D70F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2. 铁丢失过多：慢性失血是常见原因，包括消化道出血（溃疡、肿瘤）、月经过多、反复献血等。  </w:t>
      </w:r>
    </w:p>
    <w:p w14:paraId="7DB275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3. 铁需求增加：婴幼儿快速生长、妊娠期胎儿发育、哺乳期铁消耗等生理状态需额外补铁。  </w:t>
      </w:r>
    </w:p>
    <w:p w14:paraId="392086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4. 吸收异常：胃大部切除术后、遗传性血色病等影响铁代谢。  </w:t>
      </w:r>
    </w:p>
    <w:p w14:paraId="0A5579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高危人群细化：  </w:t>
      </w:r>
    </w:p>
    <w:p w14:paraId="7A7081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- 育龄女性：月经量过多（&gt;80ml/月）或合并子宫肌瘤者风险增加3倍。  </w:t>
      </w:r>
    </w:p>
    <w:p w14:paraId="7AE0F2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- 慢性病患者：消化道疾病（如克罗恩病、胃大部切除）、慢性肾病（尤其是透析患者）、肿瘤患者铁需求与丢失失衡显著。  </w:t>
      </w:r>
    </w:p>
    <w:p w14:paraId="4936028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- 老年人：因胃酸分泌减少、药物（如质子泵抑制剂）影响，铁吸收率下降20%-50%。  </w:t>
      </w:r>
    </w:p>
    <w:p w14:paraId="7B5403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三、临床表现与诊断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 w14:paraId="38A9C3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典型症状：一般症状有乏力、头晕、心悸、皮肤苍白，活动后气促等；系统症状有呼吸急促、心率加快、异食癖（儿童多见）、口角炎、舌炎等。  </w:t>
      </w:r>
    </w:p>
    <w:p w14:paraId="28A159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体格检查：体征包括匙状甲（反甲）、毛发干枯、皮肤干燥、指甲变薄易折等。体格检查需全面、细致，并注意某些特征性的体征可能给诊断和鉴别诊断提供重要的线索。</w:t>
      </w:r>
    </w:p>
    <w:p w14:paraId="7B5C78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诊断标准（需满足①+②-⑥中至少2项）：  </w:t>
      </w:r>
    </w:p>
    <w:p w14:paraId="44381F3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血常规提示血红蛋白降低（男&lt;120g/L，女&lt;110g/L，孕妇&lt;100g/L），红细胞呈小细胞、低色素性；</w:t>
      </w:r>
    </w:p>
    <w:p w14:paraId="56D5C7B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有明确的缺铁病因和临床表现（如乏力、头晕、心悸等）；</w:t>
      </w:r>
    </w:p>
    <w:p w14:paraId="1D1F309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血清铁蛋白&lt;15μg/L，感染或合并慢性炎症患者（除外慢性肾功能不全、心力衰竭）铁蛋白&lt;70μg/L；转铁蛋白饱和度&lt;15%；血清铁&lt;8.95 μmol/L，总铁结合力&gt;64.44 μmol/L；可溶性转铁蛋白受体&gt;26.50 nmol/L（2.25 mg/L）；</w:t>
      </w:r>
    </w:p>
    <w:p w14:paraId="7D7B2CD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骨髓铁染色显示骨髓小粒可染铁消失，铁粒幼细胞&lt;15%；</w:t>
      </w:r>
    </w:p>
    <w:p w14:paraId="2C271F4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红细胞游离原卟啉&gt;0.90 μmol/L（全血），锌原卟啉&gt;0.96 μmol/L（全血）；</w:t>
      </w:r>
    </w:p>
    <w:p w14:paraId="7BD7CBE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i w:val="0"/>
          <w:shadow w:val="0"/>
          <w:emboss w:val="0"/>
          <w:imprint w:val="0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铁剂治疗有效。</w:t>
      </w:r>
    </w:p>
    <w:p w14:paraId="10A38E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_GB2312" w:hAnsi="仿宋_GB2312" w:eastAsia="仿宋_GB2312" w:cs="仿宋_GB2312"/>
          <w:b/>
          <w:i w:val="0"/>
          <w:shadow w:val="0"/>
          <w:emboss w:val="0"/>
          <w:imprint w:val="0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shadow w:val="0"/>
          <w:emboss w:val="0"/>
          <w:imprint w:val="0"/>
          <w:sz w:val="32"/>
          <w:szCs w:val="32"/>
          <w:u w:val="none"/>
          <w:lang w:eastAsia="zh-CN"/>
        </w:rPr>
        <w:t>表1    贫血的诊断依据（单位∶g/L）</w:t>
      </w:r>
    </w:p>
    <w:tbl>
      <w:tblPr>
        <w:tblStyle w:val="3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78"/>
        <w:gridCol w:w="1562"/>
        <w:gridCol w:w="1411"/>
        <w:gridCol w:w="1432"/>
        <w:gridCol w:w="1508"/>
        <w:gridCol w:w="1324"/>
      </w:tblGrid>
      <w:tr w14:paraId="6C2308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986" w:type="pct"/>
            <w:tcBorders>
              <w:top w:val="single" w:color="FFFFFF" w:sz="6" w:space="0"/>
              <w:left w:val="single" w:color="FFFFFF" w:sz="6" w:space="0"/>
              <w:bottom w:val="single" w:color="FFFFFF" w:sz="18" w:space="0"/>
              <w:right w:val="single" w:color="FFFFFF" w:sz="6" w:space="0"/>
            </w:tcBorders>
            <w:shd w:val="clear" w:color="auto" w:fill="F07F09"/>
            <w:noWrap w:val="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DFB34F8">
            <w:pPr>
              <w:pStyle w:val="2"/>
              <w:keepNext w:val="0"/>
              <w:keepLines w:val="0"/>
              <w:widowControl/>
              <w:suppressLineNumbers w:val="0"/>
              <w:kinsoku/>
              <w:wordWrap/>
              <w:overflowPunct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66" w:type="pct"/>
            <w:tcBorders>
              <w:top w:val="single" w:color="FFFFFF" w:sz="6" w:space="0"/>
              <w:left w:val="single" w:color="FFFFFF" w:sz="6" w:space="0"/>
              <w:bottom w:val="single" w:color="FFFFFF" w:sz="18" w:space="0"/>
              <w:right w:val="single" w:color="FFFFFF" w:sz="6" w:space="0"/>
            </w:tcBorders>
            <w:shd w:val="clear" w:color="auto" w:fill="F07F09"/>
            <w:noWrap w:val="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1067823">
            <w:pPr>
              <w:pStyle w:val="2"/>
              <w:keepNext w:val="0"/>
              <w:keepLines w:val="0"/>
              <w:widowControl/>
              <w:suppressLineNumbers w:val="0"/>
              <w:kinsoku/>
              <w:wordWrap/>
              <w:overflowPunct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FFFFFF"/>
                <w:sz w:val="28"/>
                <w:szCs w:val="28"/>
              </w:rPr>
              <w:t>6月龄～6岁</w:t>
            </w:r>
          </w:p>
        </w:tc>
        <w:tc>
          <w:tcPr>
            <w:tcW w:w="782" w:type="pct"/>
            <w:tcBorders>
              <w:top w:val="single" w:color="FFFFFF" w:sz="6" w:space="0"/>
              <w:left w:val="single" w:color="FFFFFF" w:sz="6" w:space="0"/>
              <w:bottom w:val="single" w:color="FFFFFF" w:sz="18" w:space="0"/>
              <w:right w:val="single" w:color="FFFFFF" w:sz="6" w:space="0"/>
            </w:tcBorders>
            <w:shd w:val="clear" w:color="auto" w:fill="F07F09"/>
            <w:noWrap w:val="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292A146">
            <w:pPr>
              <w:pStyle w:val="2"/>
              <w:keepNext w:val="0"/>
              <w:keepLines w:val="0"/>
              <w:widowControl/>
              <w:suppressLineNumbers w:val="0"/>
              <w:kinsoku/>
              <w:wordWrap/>
              <w:overflowPunct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FFFFFF"/>
                <w:sz w:val="28"/>
                <w:szCs w:val="28"/>
              </w:rPr>
              <w:t>6～14岁</w:t>
            </w:r>
          </w:p>
        </w:tc>
        <w:tc>
          <w:tcPr>
            <w:tcW w:w="794" w:type="pct"/>
            <w:tcBorders>
              <w:top w:val="single" w:color="FFFFFF" w:sz="6" w:space="0"/>
              <w:left w:val="single" w:color="FFFFFF" w:sz="6" w:space="0"/>
              <w:bottom w:val="single" w:color="FFFFFF" w:sz="18" w:space="0"/>
              <w:right w:val="single" w:color="FFFFFF" w:sz="6" w:space="0"/>
            </w:tcBorders>
            <w:shd w:val="clear" w:color="auto" w:fill="F07F09"/>
            <w:noWrap w:val="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84100E3">
            <w:pPr>
              <w:pStyle w:val="2"/>
              <w:keepNext w:val="0"/>
              <w:keepLines w:val="0"/>
              <w:widowControl/>
              <w:suppressLineNumbers w:val="0"/>
              <w:kinsoku/>
              <w:wordWrap/>
              <w:overflowPunct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FFFFFF"/>
                <w:sz w:val="28"/>
                <w:szCs w:val="28"/>
              </w:rPr>
              <w:t>成年男性</w:t>
            </w:r>
          </w:p>
        </w:tc>
        <w:tc>
          <w:tcPr>
            <w:tcW w:w="836" w:type="pct"/>
            <w:tcBorders>
              <w:top w:val="single" w:color="FFFFFF" w:sz="6" w:space="0"/>
              <w:left w:val="single" w:color="FFFFFF" w:sz="6" w:space="0"/>
              <w:bottom w:val="single" w:color="FFFFFF" w:sz="18" w:space="0"/>
              <w:right w:val="single" w:color="FFFFFF" w:sz="6" w:space="0"/>
            </w:tcBorders>
            <w:shd w:val="clear" w:color="auto" w:fill="F07F09"/>
            <w:noWrap w:val="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EE3C78B">
            <w:pPr>
              <w:pStyle w:val="2"/>
              <w:keepNext w:val="0"/>
              <w:keepLines w:val="0"/>
              <w:widowControl/>
              <w:suppressLineNumbers w:val="0"/>
              <w:kinsoku/>
              <w:wordWrap/>
              <w:overflowPunct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FFFFFF"/>
                <w:sz w:val="28"/>
                <w:szCs w:val="28"/>
              </w:rPr>
              <w:t>成年女性</w:t>
            </w:r>
          </w:p>
        </w:tc>
        <w:tc>
          <w:tcPr>
            <w:tcW w:w="734" w:type="pct"/>
            <w:tcBorders>
              <w:top w:val="single" w:color="FFFFFF" w:sz="6" w:space="0"/>
              <w:left w:val="single" w:color="FFFFFF" w:sz="6" w:space="0"/>
              <w:bottom w:val="single" w:color="FFFFFF" w:sz="18" w:space="0"/>
              <w:right w:val="single" w:color="FFFFFF" w:sz="6" w:space="0"/>
            </w:tcBorders>
            <w:shd w:val="clear" w:color="auto" w:fill="F07F09"/>
            <w:noWrap w:val="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125883B">
            <w:pPr>
              <w:pStyle w:val="2"/>
              <w:keepNext w:val="0"/>
              <w:keepLines w:val="0"/>
              <w:widowControl/>
              <w:suppressLineNumbers w:val="0"/>
              <w:kinsoku/>
              <w:wordWrap/>
              <w:overflowPunct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FFFFFF"/>
                <w:sz w:val="28"/>
                <w:szCs w:val="28"/>
              </w:rPr>
              <w:t>孕妇</w:t>
            </w:r>
          </w:p>
        </w:tc>
      </w:tr>
      <w:tr w14:paraId="4C4ED4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986" w:type="pct"/>
            <w:tcBorders>
              <w:top w:val="single" w:color="FFFFFF" w:sz="6" w:space="0"/>
              <w:left w:val="single" w:color="FFFFFF" w:sz="6" w:space="0"/>
              <w:bottom w:val="single" w:color="FFFFFF" w:sz="18" w:space="0"/>
              <w:right w:val="single" w:color="FFFFFF" w:sz="6" w:space="0"/>
            </w:tcBorders>
            <w:shd w:val="clear" w:color="auto" w:fill="F9D8CC"/>
            <w:noWrap w:val="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AF15AED">
            <w:pPr>
              <w:pStyle w:val="2"/>
              <w:keepNext w:val="0"/>
              <w:keepLines w:val="0"/>
              <w:widowControl/>
              <w:suppressLineNumbers w:val="0"/>
              <w:kinsoku/>
              <w:wordWrap/>
              <w:overflowPunct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世界卫生组织（WHO）</w:t>
            </w:r>
          </w:p>
        </w:tc>
        <w:tc>
          <w:tcPr>
            <w:tcW w:w="866" w:type="pct"/>
            <w:tcBorders>
              <w:top w:val="single" w:color="FFFFFF" w:sz="6" w:space="0"/>
              <w:left w:val="single" w:color="FFFFFF" w:sz="6" w:space="0"/>
              <w:bottom w:val="single" w:color="FFFFFF" w:sz="18" w:space="0"/>
              <w:right w:val="single" w:color="FFFFFF" w:sz="6" w:space="0"/>
            </w:tcBorders>
            <w:shd w:val="clear" w:color="auto" w:fill="F9D8CC"/>
            <w:noWrap w:val="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DB97D05">
            <w:pPr>
              <w:pStyle w:val="2"/>
              <w:keepNext w:val="0"/>
              <w:keepLines w:val="0"/>
              <w:widowControl/>
              <w:suppressLineNumbers w:val="0"/>
              <w:kinsoku/>
              <w:wordWrap/>
              <w:overflowPunct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&lt;110</w:t>
            </w:r>
          </w:p>
        </w:tc>
        <w:tc>
          <w:tcPr>
            <w:tcW w:w="782" w:type="pct"/>
            <w:tcBorders>
              <w:top w:val="single" w:color="FFFFFF" w:sz="6" w:space="0"/>
              <w:left w:val="single" w:color="FFFFFF" w:sz="6" w:space="0"/>
              <w:bottom w:val="single" w:color="FFFFFF" w:sz="18" w:space="0"/>
              <w:right w:val="single" w:color="FFFFFF" w:sz="6" w:space="0"/>
            </w:tcBorders>
            <w:shd w:val="clear" w:color="auto" w:fill="F9D8CC"/>
            <w:noWrap w:val="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6594770">
            <w:pPr>
              <w:pStyle w:val="2"/>
              <w:keepNext w:val="0"/>
              <w:keepLines w:val="0"/>
              <w:widowControl/>
              <w:suppressLineNumbers w:val="0"/>
              <w:kinsoku/>
              <w:wordWrap/>
              <w:overflowPunct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&lt;120</w:t>
            </w:r>
          </w:p>
        </w:tc>
        <w:tc>
          <w:tcPr>
            <w:tcW w:w="794" w:type="pct"/>
            <w:tcBorders>
              <w:top w:val="single" w:color="FFFFFF" w:sz="6" w:space="0"/>
              <w:left w:val="single" w:color="FFFFFF" w:sz="6" w:space="0"/>
              <w:bottom w:val="single" w:color="FFFFFF" w:sz="18" w:space="0"/>
              <w:right w:val="single" w:color="FFFFFF" w:sz="6" w:space="0"/>
            </w:tcBorders>
            <w:shd w:val="clear" w:color="auto" w:fill="F9D8CC"/>
            <w:noWrap w:val="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B1F79DC">
            <w:pPr>
              <w:pStyle w:val="2"/>
              <w:keepNext w:val="0"/>
              <w:keepLines w:val="0"/>
              <w:widowControl/>
              <w:suppressLineNumbers w:val="0"/>
              <w:kinsoku/>
              <w:wordWrap/>
              <w:overflowPunct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&lt;130</w:t>
            </w:r>
          </w:p>
        </w:tc>
        <w:tc>
          <w:tcPr>
            <w:tcW w:w="836" w:type="pct"/>
            <w:tcBorders>
              <w:top w:val="single" w:color="FFFFFF" w:sz="6" w:space="0"/>
              <w:left w:val="single" w:color="FFFFFF" w:sz="6" w:space="0"/>
              <w:bottom w:val="single" w:color="FFFFFF" w:sz="18" w:space="0"/>
              <w:right w:val="single" w:color="FFFFFF" w:sz="6" w:space="0"/>
            </w:tcBorders>
            <w:shd w:val="clear" w:color="auto" w:fill="F9D8CC"/>
            <w:noWrap w:val="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73F1328">
            <w:pPr>
              <w:pStyle w:val="2"/>
              <w:keepNext w:val="0"/>
              <w:keepLines w:val="0"/>
              <w:widowControl/>
              <w:suppressLineNumbers w:val="0"/>
              <w:kinsoku/>
              <w:wordWrap/>
              <w:overflowPunct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&lt;120</w:t>
            </w:r>
          </w:p>
        </w:tc>
        <w:tc>
          <w:tcPr>
            <w:tcW w:w="734" w:type="pct"/>
            <w:tcBorders>
              <w:top w:val="single" w:color="FFFFFF" w:sz="6" w:space="0"/>
              <w:left w:val="single" w:color="FFFFFF" w:sz="6" w:space="0"/>
              <w:bottom w:val="single" w:color="FFFFFF" w:sz="18" w:space="0"/>
              <w:right w:val="single" w:color="FFFFFF" w:sz="6" w:space="0"/>
            </w:tcBorders>
            <w:shd w:val="clear" w:color="auto" w:fill="F9D8CC"/>
            <w:noWrap w:val="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14BAE6A">
            <w:pPr>
              <w:pStyle w:val="2"/>
              <w:keepNext w:val="0"/>
              <w:keepLines w:val="0"/>
              <w:widowControl/>
              <w:suppressLineNumbers w:val="0"/>
              <w:kinsoku/>
              <w:wordWrap/>
              <w:overflowPunct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&lt;110</w:t>
            </w:r>
          </w:p>
        </w:tc>
      </w:tr>
      <w:tr w14:paraId="0A95FC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986" w:type="pct"/>
            <w:tcBorders>
              <w:top w:val="single" w:color="FFFFFF" w:sz="6" w:space="0"/>
              <w:left w:val="single" w:color="FFFFFF" w:sz="6" w:space="0"/>
              <w:bottom w:val="single" w:color="FFFFFF" w:sz="18" w:space="0"/>
              <w:right w:val="single" w:color="FFFFFF" w:sz="6" w:space="0"/>
            </w:tcBorders>
            <w:shd w:val="clear" w:color="auto" w:fill="FCECE7"/>
            <w:noWrap w:val="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22D37B6">
            <w:pPr>
              <w:pStyle w:val="2"/>
              <w:keepNext w:val="0"/>
              <w:keepLines w:val="0"/>
              <w:widowControl/>
              <w:suppressLineNumbers w:val="0"/>
              <w:kinsoku/>
              <w:wordWrap/>
              <w:overflowPunct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中国大陆</w:t>
            </w:r>
          </w:p>
        </w:tc>
        <w:tc>
          <w:tcPr>
            <w:tcW w:w="866" w:type="pct"/>
            <w:tcBorders>
              <w:top w:val="single" w:color="FFFFFF" w:sz="6" w:space="0"/>
              <w:left w:val="single" w:color="FFFFFF" w:sz="6" w:space="0"/>
              <w:bottom w:val="single" w:color="FFFFFF" w:sz="18" w:space="0"/>
              <w:right w:val="single" w:color="FFFFFF" w:sz="6" w:space="0"/>
            </w:tcBorders>
            <w:shd w:val="clear" w:color="auto" w:fill="FCECE7"/>
            <w:noWrap w:val="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89312F4">
            <w:pPr>
              <w:pStyle w:val="2"/>
              <w:keepNext w:val="0"/>
              <w:keepLines w:val="0"/>
              <w:widowControl/>
              <w:suppressLineNumbers w:val="0"/>
              <w:kinsoku/>
              <w:wordWrap/>
              <w:overflowPunct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&lt;110 </w:t>
            </w:r>
          </w:p>
        </w:tc>
        <w:tc>
          <w:tcPr>
            <w:tcW w:w="782" w:type="pct"/>
            <w:tcBorders>
              <w:top w:val="single" w:color="FFFFFF" w:sz="6" w:space="0"/>
              <w:left w:val="single" w:color="FFFFFF" w:sz="6" w:space="0"/>
              <w:bottom w:val="single" w:color="FFFFFF" w:sz="18" w:space="0"/>
              <w:right w:val="single" w:color="FFFFFF" w:sz="6" w:space="0"/>
            </w:tcBorders>
            <w:shd w:val="clear" w:color="auto" w:fill="FCECE7"/>
            <w:noWrap w:val="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20B8BBE">
            <w:pPr>
              <w:pStyle w:val="2"/>
              <w:keepNext w:val="0"/>
              <w:keepLines w:val="0"/>
              <w:widowControl/>
              <w:suppressLineNumbers w:val="0"/>
              <w:kinsoku/>
              <w:wordWrap/>
              <w:overflowPunct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&lt;120</w:t>
            </w:r>
          </w:p>
        </w:tc>
        <w:tc>
          <w:tcPr>
            <w:tcW w:w="794" w:type="pct"/>
            <w:tcBorders>
              <w:top w:val="single" w:color="FFFFFF" w:sz="6" w:space="0"/>
              <w:left w:val="single" w:color="FFFFFF" w:sz="6" w:space="0"/>
              <w:bottom w:val="single" w:color="FFFFFF" w:sz="18" w:space="0"/>
              <w:right w:val="single" w:color="FFFFFF" w:sz="6" w:space="0"/>
            </w:tcBorders>
            <w:shd w:val="clear" w:color="auto" w:fill="FCECE7"/>
            <w:noWrap w:val="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D7EA0F6">
            <w:pPr>
              <w:pStyle w:val="2"/>
              <w:keepNext w:val="0"/>
              <w:keepLines w:val="0"/>
              <w:widowControl/>
              <w:suppressLineNumbers w:val="0"/>
              <w:kinsoku/>
              <w:wordWrap/>
              <w:overflowPunct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&lt;120</w:t>
            </w:r>
          </w:p>
        </w:tc>
        <w:tc>
          <w:tcPr>
            <w:tcW w:w="836" w:type="pct"/>
            <w:tcBorders>
              <w:top w:val="single" w:color="FFFFFF" w:sz="6" w:space="0"/>
              <w:left w:val="single" w:color="FFFFFF" w:sz="6" w:space="0"/>
              <w:bottom w:val="single" w:color="FFFFFF" w:sz="18" w:space="0"/>
              <w:right w:val="single" w:color="FFFFFF" w:sz="6" w:space="0"/>
            </w:tcBorders>
            <w:shd w:val="clear" w:color="auto" w:fill="FCECE7"/>
            <w:noWrap w:val="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ABAA07B">
            <w:pPr>
              <w:pStyle w:val="2"/>
              <w:keepNext w:val="0"/>
              <w:keepLines w:val="0"/>
              <w:widowControl/>
              <w:suppressLineNumbers w:val="0"/>
              <w:kinsoku/>
              <w:wordWrap/>
              <w:overflowPunct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&lt;110</w:t>
            </w:r>
          </w:p>
        </w:tc>
        <w:tc>
          <w:tcPr>
            <w:tcW w:w="734" w:type="pct"/>
            <w:tcBorders>
              <w:top w:val="single" w:color="FFFFFF" w:sz="6" w:space="0"/>
              <w:left w:val="single" w:color="FFFFFF" w:sz="6" w:space="0"/>
              <w:bottom w:val="single" w:color="FFFFFF" w:sz="18" w:space="0"/>
              <w:right w:val="single" w:color="FFFFFF" w:sz="6" w:space="0"/>
            </w:tcBorders>
            <w:shd w:val="clear" w:color="auto" w:fill="FCECE7"/>
            <w:noWrap w:val="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691D8C2">
            <w:pPr>
              <w:pStyle w:val="2"/>
              <w:keepNext w:val="0"/>
              <w:keepLines w:val="0"/>
              <w:widowControl/>
              <w:suppressLineNumbers w:val="0"/>
              <w:kinsoku/>
              <w:wordWrap/>
              <w:overflowPunct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&lt;100</w:t>
            </w:r>
          </w:p>
        </w:tc>
      </w:tr>
    </w:tbl>
    <w:p w14:paraId="567CD246">
      <w:pPr>
        <w:numPr>
          <w:ilvl w:val="0"/>
          <w:numId w:val="0"/>
        </w:numPr>
        <w:overflowPunct w:val="0"/>
        <w:ind w:leftChars="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shadow w:val="0"/>
          <w:emboss w:val="0"/>
          <w:imprint w:val="0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shadow w:val="0"/>
          <w:emboss w:val="0"/>
          <w:imprint w:val="0"/>
          <w:sz w:val="32"/>
          <w:szCs w:val="32"/>
          <w:u w:val="none"/>
          <w:lang w:eastAsia="zh-CN"/>
        </w:rPr>
        <w:t>注∶上述标准为成年人，居住在海平面地区者</w:t>
      </w:r>
    </w:p>
    <w:p w14:paraId="51EB4989">
      <w:pPr>
        <w:numPr>
          <w:ilvl w:val="0"/>
          <w:numId w:val="0"/>
        </w:numPr>
        <w:overflowPunct/>
        <w:ind w:leftChars="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shadow w:val="0"/>
          <w:emboss w:val="0"/>
          <w:imprint w:val="0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shadow w:val="0"/>
          <w:emboss w:val="0"/>
          <w:imprint w:val="0"/>
          <w:sz w:val="32"/>
          <w:szCs w:val="32"/>
          <w:u w:val="none"/>
          <w:lang w:eastAsia="zh-CN"/>
        </w:rPr>
        <w:t>按贫血程度分：轻度、中度、重度、极重度。</w:t>
      </w:r>
    </w:p>
    <w:p w14:paraId="1A7A98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34C6B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诊断流程优化：  </w:t>
      </w:r>
    </w:p>
    <w:p w14:paraId="59EDE0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- 初筛：血常规+铁代谢指标（血清铁、总铁结合力）；  </w:t>
      </w:r>
    </w:p>
    <w:p w14:paraId="1F8CAD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- 确诊：骨髓铁染色或红细胞游离原卟啉（FEP）检测；  </w:t>
      </w:r>
    </w:p>
    <w:p w14:paraId="23DF66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- 病因筛查：胃肠镜（排查消化道出血）、妇科检查（月经量评估）、肿瘤标志物（高危人群）。  </w:t>
      </w:r>
    </w:p>
    <w:p w14:paraId="1CE714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鉴别诊断：需排除慢性病贫血、地中海贫血、铁粒幼细胞性贫血等。  </w:t>
      </w:r>
    </w:p>
    <w:p w14:paraId="2020F0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病史询问要点</w:t>
      </w:r>
    </w:p>
    <w:p w14:paraId="78BA38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1.病人基本情况：性别和年龄，工作及居住情况（包括有无近期住房装修史、有无长期接触化学物质及放射性物质史）。</w:t>
      </w:r>
    </w:p>
    <w:p w14:paraId="36FE52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2.临床表现：症状及持续时间，有无其他系统症状（心血管系统、呼吸系统、消化系统、泌尿生殖系统、内分泌系统等）。</w:t>
      </w:r>
    </w:p>
    <w:p w14:paraId="558CB7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3.一般情况：饮食情况（有无特殊饮食嗜好，是否偏食，烹饪习惯等），大小便情况（有无黑便、鲜血便、血尿、酱油色尿等）。</w:t>
      </w:r>
    </w:p>
    <w:p w14:paraId="02EAD3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既往史和家族史：既往有无其他疾病；女性患者应询问月经情况（月经周期、月经是否规律、月经持续时间、有无血凝块、所用卫生巾数量等）及生育史（妊娠与流产次数及其间隔时间、哺乳时间等）；家族史（有无家族遗传性疾病）；药物应用史；疫区居住史；烟酒嗜好（饮酒的品种、量、持续时间等）。</w:t>
      </w:r>
    </w:p>
    <w:p w14:paraId="401529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四、治疗策略与最新进展  </w:t>
      </w:r>
    </w:p>
    <w:p w14:paraId="2AE6FD56">
      <w:pPr>
        <w:numPr>
          <w:ilvl w:val="0"/>
          <w:numId w:val="0"/>
        </w:numPr>
        <w:overflowPunct w:val="0"/>
        <w:ind w:leftChars="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shadow w:val="0"/>
          <w:emboss w:val="0"/>
          <w:imprint w:val="0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shadow w:val="0"/>
          <w:emboss w:val="0"/>
          <w:imprint w:val="0"/>
          <w:sz w:val="32"/>
          <w:szCs w:val="32"/>
          <w:u w:val="none"/>
          <w:lang w:eastAsia="zh-CN"/>
        </w:rPr>
        <w:t>ID/IDA的治疗包括病因治疗、补铁和输血</w:t>
      </w:r>
    </w:p>
    <w:p w14:paraId="29D162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shadow w:val="0"/>
          <w:emboss w:val="0"/>
          <w:imprint w:val="0"/>
          <w:sz w:val="32"/>
          <w:szCs w:val="32"/>
          <w:u w:val="none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/>
          <w:i w:val="0"/>
          <w:shadow w:val="0"/>
          <w:emboss w:val="0"/>
          <w:imprint w:val="0"/>
          <w:sz w:val="32"/>
          <w:szCs w:val="32"/>
          <w:u w:val="none"/>
          <w:lang w:eastAsia="zh-CN"/>
        </w:rPr>
        <w:t>对于确诊ID/IDA的患者，均应积极寻找病因，</w:t>
      </w:r>
      <w:r>
        <w:rPr>
          <w:rFonts w:hint="eastAsia" w:ascii="仿宋_GB2312" w:hAnsi="仿宋_GB2312" w:eastAsia="仿宋_GB2312" w:cs="仿宋_GB2312"/>
          <w:b w:val="0"/>
          <w:bCs/>
          <w:i w:val="0"/>
          <w:shadow w:val="0"/>
          <w:emboss w:val="0"/>
          <w:imprint w:val="0"/>
          <w:sz w:val="32"/>
          <w:szCs w:val="32"/>
          <w:u w:val="none"/>
          <w:lang w:val="en-US" w:eastAsia="zh-CN"/>
        </w:rPr>
        <w:t>并行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病因治疗：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  </w:t>
      </w:r>
    </w:p>
    <w:p w14:paraId="6CCE629A">
      <w:pPr>
        <w:numPr>
          <w:ilvl w:val="0"/>
          <w:numId w:val="0"/>
        </w:numPr>
        <w:overflowPunct/>
        <w:spacing w:line="360" w:lineRule="auto"/>
        <w:ind w:left="320" w:leftChars="0" w:hanging="320" w:hangingChars="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 青少年、育龄期女性、妊娠期女性和哺乳期女性等摄入不足引起的 IDA ，应改善饮食，补充含铁丰富且易吸收的食物，如瘦肉、动物肝脏等；</w:t>
      </w:r>
    </w:p>
    <w:p w14:paraId="64F72A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hanging="320" w:hangingChars="1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 胃肠道相关检查：进行尿素呼气试验、抗幽门螺杆菌抗体检查，确定患者是否存在幽门螺杆菌感染；进行胃肠镜检查等，尤其对于男性及绝经期的女性；消化性溃疡患者应进行抑酸护胃治疗等。</w:t>
      </w:r>
    </w:p>
    <w:p w14:paraId="3D2BFF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 育龄期女性可以预防性补充铁剂，每日或隔日补充元素铁；</w:t>
      </w:r>
    </w:p>
    <w:p w14:paraId="400B09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 妇科检查：如子宫肌瘤、子宫腺肌症等疾病导致月经量过多；</w:t>
      </w:r>
    </w:p>
    <w:p w14:paraId="6CEFB6DD">
      <w:pPr>
        <w:numPr>
          <w:ilvl w:val="0"/>
          <w:numId w:val="0"/>
        </w:numPr>
        <w:overflowPunct/>
        <w:spacing w:line="360" w:lineRule="auto"/>
        <w:ind w:left="320" w:leftChars="0" w:hanging="320" w:hangingChars="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 炎症标志物检测：如C反应蛋白增高，提示可能是炎症/肿瘤性疾病相关贫血；恶性肿瘤患者应进行手术或放、化疗；</w:t>
      </w:r>
    </w:p>
    <w:p w14:paraId="08FFF6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 寄生虫感染患者应进行驱虫治疗；</w:t>
      </w:r>
    </w:p>
    <w:p w14:paraId="58C3D0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 排除包括克隆性造血在内的多种因素；</w:t>
      </w:r>
    </w:p>
    <w:p w14:paraId="5B240BBF">
      <w:pPr>
        <w:numPr>
          <w:ilvl w:val="0"/>
          <w:numId w:val="0"/>
        </w:numPr>
        <w:overflowPunct/>
        <w:spacing w:line="360" w:lineRule="auto"/>
        <w:ind w:left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 铁剂难治性IDA的患者应进行</w:t>
      </w:r>
      <w:r>
        <w:rPr>
          <w:rFonts w:hint="eastAsia" w:ascii="仿宋_GB2312" w:hAnsi="仿宋_GB2312" w:eastAsia="仿宋_GB2312" w:cs="仿宋_GB2312"/>
          <w:b w:val="0"/>
          <w:bCs/>
          <w:i w:val="0"/>
          <w:shadow w:val="0"/>
          <w:emboss w:val="0"/>
          <w:imprint w:val="0"/>
          <w:sz w:val="32"/>
          <w:szCs w:val="32"/>
          <w:u w:val="none"/>
          <w:lang w:eastAsia="zh-CN"/>
        </w:rPr>
        <w:t>跨膜丝氨酸蛋白酶6（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TMPRSS6）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基因检测。</w:t>
      </w:r>
    </w:p>
    <w:p w14:paraId="6754602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铁剂补充  </w:t>
      </w:r>
    </w:p>
    <w:p w14:paraId="3E45DB68">
      <w:pPr>
        <w:numPr>
          <w:ilvl w:val="0"/>
          <w:numId w:val="3"/>
        </w:numPr>
        <w:overflowPunct/>
        <w:spacing w:line="360" w:lineRule="auto"/>
        <w:ind w:left="420" w:leftChars="0" w:hanging="420" w:firstLineChars="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shadow w:val="0"/>
          <w:emboss w:val="0"/>
          <w:imprint w:val="0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shadow w:val="0"/>
          <w:emboss w:val="0"/>
          <w:imprint w:val="0"/>
          <w:sz w:val="32"/>
          <w:szCs w:val="32"/>
          <w:u w:val="none"/>
          <w:lang w:eastAsia="zh-CN"/>
        </w:rPr>
        <w:t>无输血指征的患者常规行补铁治疗</w:t>
      </w:r>
    </w:p>
    <w:p w14:paraId="660ED600">
      <w:pPr>
        <w:numPr>
          <w:ilvl w:val="0"/>
          <w:numId w:val="4"/>
        </w:numPr>
        <w:overflowPunct/>
        <w:spacing w:line="360" w:lineRule="auto"/>
        <w:ind w:left="420" w:leftChars="0" w:hanging="420" w:firstLineChars="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shadow w:val="0"/>
          <w:emboss w:val="0"/>
          <w:imprint w:val="0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shadow w:val="0"/>
          <w:emboss w:val="0"/>
          <w:imprint w:val="0"/>
          <w:sz w:val="32"/>
          <w:szCs w:val="32"/>
          <w:u w:val="none"/>
          <w:lang w:eastAsia="zh-CN"/>
        </w:rPr>
        <w:t>补铁治疗需要考虑患者Hb水平、口服铁剂的耐受性和影响铁吸收的合并症等。</w:t>
      </w:r>
    </w:p>
    <w:p w14:paraId="4B72984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20" w:firstLineChars="1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- 口服铁剂（首选）：  </w:t>
      </w:r>
    </w:p>
    <w:p w14:paraId="4143B2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20" w:firstLineChars="1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- 琥珀酸亚铁（速力菲）：含铁量35%，餐后服用减少胃肠道刺激；  </w:t>
      </w:r>
    </w:p>
    <w:p w14:paraId="44A9E9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20" w:firstLineChars="1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- 多糖铁复合物（力蜚能）：胃肠道反应少，适合长期服用； </w:t>
      </w:r>
    </w:p>
    <w:p w14:paraId="43E407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 w14:paraId="7E3A32DA">
      <w:pPr>
        <w:numPr>
          <w:ilvl w:val="0"/>
          <w:numId w:val="0"/>
        </w:numPr>
        <w:overflowPunct/>
        <w:ind w:leftChars="0"/>
        <w:jc w:val="center"/>
        <w:textAlignment w:val="auto"/>
        <w:rPr>
          <w:rFonts w:hint="eastAsia" w:ascii="仿宋_GB2312" w:hAnsi="仿宋_GB2312" w:eastAsia="仿宋_GB2312" w:cs="仿宋_GB2312"/>
          <w:b/>
          <w:i w:val="0"/>
          <w:shadow w:val="0"/>
          <w:emboss w:val="0"/>
          <w:imprint w:val="0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i w:val="0"/>
          <w:shadow w:val="0"/>
          <w:emboss w:val="0"/>
          <w:imprint w:val="0"/>
          <w:sz w:val="32"/>
          <w:szCs w:val="32"/>
          <w:u w:val="none"/>
          <w:lang w:eastAsia="zh-CN"/>
        </w:rPr>
        <w:t>表</w:t>
      </w:r>
      <w:r>
        <w:rPr>
          <w:rFonts w:hint="eastAsia" w:ascii="仿宋_GB2312" w:hAnsi="仿宋_GB2312" w:eastAsia="仿宋_GB2312" w:cs="仿宋_GB2312"/>
          <w:b w:val="0"/>
          <w:bCs/>
          <w:i w:val="0"/>
          <w:shadow w:val="0"/>
          <w:emboss w:val="0"/>
          <w:imprint w:val="0"/>
          <w:sz w:val="32"/>
          <w:szCs w:val="32"/>
          <w:u w:val="none"/>
          <w:lang w:val="en-US" w:eastAsia="zh-CN"/>
        </w:rPr>
        <w:t xml:space="preserve">2 </w:t>
      </w:r>
      <w:r>
        <w:rPr>
          <w:rFonts w:hint="eastAsia" w:ascii="仿宋_GB2312" w:hAnsi="仿宋_GB2312" w:eastAsia="仿宋_GB2312" w:cs="仿宋_GB2312"/>
          <w:b w:val="0"/>
          <w:bCs/>
          <w:i w:val="0"/>
          <w:shadow w:val="0"/>
          <w:emboss w:val="0"/>
          <w:imprint w:val="0"/>
          <w:sz w:val="32"/>
          <w:szCs w:val="32"/>
          <w:u w:val="none"/>
          <w:lang w:eastAsia="zh-CN"/>
        </w:rPr>
        <w:t>常用口服铁剂的用法用量</w:t>
      </w:r>
    </w:p>
    <w:tbl>
      <w:tblPr>
        <w:tblStyle w:val="3"/>
        <w:tblW w:w="4976" w:type="pct"/>
        <w:tblInd w:w="0" w:type="dxa"/>
        <w:tblBorders>
          <w:top w:val="none" w:color="auto" w:sz="0" w:space="0"/>
          <w:left w:val="none" w:color="auto" w:sz="0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52"/>
        <w:gridCol w:w="3651"/>
        <w:gridCol w:w="3735"/>
      </w:tblGrid>
      <w:tr w14:paraId="3CCDEE9A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868" w:type="pct"/>
            <w:tcBorders>
              <w:top w:val="single" w:color="964305" w:sz="6" w:space="0"/>
              <w:left w:val="single" w:color="964305" w:sz="6" w:space="0"/>
              <w:bottom w:val="single" w:color="FFFFFF" w:sz="6" w:space="0"/>
            </w:tcBorders>
            <w:shd w:val="clear" w:color="auto" w:fill="964305"/>
            <w:noWrap w:val="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CC16B74">
            <w:pPr>
              <w:pStyle w:val="2"/>
              <w:keepNext w:val="0"/>
              <w:keepLines w:val="0"/>
              <w:widowControl/>
              <w:suppressLineNumbers w:val="0"/>
              <w:kinsoku/>
              <w:wordWrap/>
              <w:overflowPunct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分类</w:t>
            </w:r>
          </w:p>
        </w:tc>
        <w:tc>
          <w:tcPr>
            <w:tcW w:w="2042" w:type="pct"/>
            <w:tcBorders>
              <w:top w:val="single" w:color="964305" w:sz="6" w:space="0"/>
              <w:left w:val="single" w:color="964305" w:sz="6" w:space="0"/>
              <w:bottom w:val="single" w:color="FFFFFF" w:sz="6" w:space="0"/>
            </w:tcBorders>
            <w:shd w:val="clear" w:color="auto" w:fill="964305"/>
            <w:noWrap w:val="0"/>
            <w:tcMar>
              <w:left w:w="105" w:type="dxa"/>
              <w:right w:w="105" w:type="dxa"/>
            </w:tcMar>
            <w:vAlign w:val="center"/>
          </w:tcPr>
          <w:p w14:paraId="0844CE8C">
            <w:pPr>
              <w:pStyle w:val="2"/>
              <w:keepNext w:val="0"/>
              <w:keepLines w:val="0"/>
              <w:widowControl/>
              <w:suppressLineNumbers w:val="0"/>
              <w:kinsoku/>
              <w:wordWrap w:val="0"/>
              <w:overflowPunct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常用口服铁剂</w:t>
            </w:r>
          </w:p>
        </w:tc>
        <w:tc>
          <w:tcPr>
            <w:tcW w:w="2089" w:type="pct"/>
            <w:tcBorders>
              <w:top w:val="single" w:color="964305" w:sz="6" w:space="0"/>
              <w:left w:val="single" w:color="964305" w:sz="6" w:space="0"/>
              <w:bottom w:val="single" w:color="FFFFFF" w:sz="6" w:space="0"/>
            </w:tcBorders>
            <w:shd w:val="clear" w:color="auto" w:fill="964305"/>
            <w:noWrap w:val="0"/>
            <w:tcMar>
              <w:left w:w="105" w:type="dxa"/>
              <w:right w:w="105" w:type="dxa"/>
            </w:tcMar>
            <w:vAlign w:val="center"/>
          </w:tcPr>
          <w:p w14:paraId="362672B1">
            <w:pPr>
              <w:pStyle w:val="2"/>
              <w:keepNext w:val="0"/>
              <w:keepLines w:val="0"/>
              <w:widowControl/>
              <w:suppressLineNumbers w:val="0"/>
              <w:kinsoku/>
              <w:wordWrap w:val="0"/>
              <w:overflowPunct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用法用量</w:t>
            </w:r>
          </w:p>
        </w:tc>
      </w:tr>
      <w:tr w14:paraId="1E222AA6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868" w:type="pct"/>
            <w:tcBorders>
              <w:top w:val="single" w:color="964305" w:sz="6" w:space="0"/>
              <w:left w:val="single" w:color="964305" w:sz="6" w:space="0"/>
              <w:bottom w:val="single" w:color="FFFFFF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 w14:paraId="2100AAA2">
            <w:pPr>
              <w:pStyle w:val="2"/>
              <w:keepNext w:val="0"/>
              <w:keepLines w:val="0"/>
              <w:widowControl/>
              <w:suppressLineNumbers w:val="0"/>
              <w:kinsoku/>
              <w:wordWrap w:val="0"/>
              <w:overflowPunct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无机铁</w:t>
            </w:r>
          </w:p>
        </w:tc>
        <w:tc>
          <w:tcPr>
            <w:tcW w:w="2042" w:type="pct"/>
            <w:tcBorders>
              <w:top w:val="single" w:color="964305" w:sz="6" w:space="0"/>
              <w:left w:val="single" w:color="964305" w:sz="6" w:space="0"/>
              <w:bottom w:val="single" w:color="FFFFFF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 w14:paraId="13BA4300">
            <w:pPr>
              <w:pStyle w:val="2"/>
              <w:keepNext w:val="0"/>
              <w:keepLines w:val="0"/>
              <w:widowControl/>
              <w:suppressLineNumbers w:val="0"/>
              <w:kinsoku/>
              <w:wordWrap w:val="0"/>
              <w:overflowPunct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硫酸亚铁</w:t>
            </w:r>
          </w:p>
        </w:tc>
        <w:tc>
          <w:tcPr>
            <w:tcW w:w="2089" w:type="pct"/>
            <w:tcBorders>
              <w:top w:val="single" w:color="964305" w:sz="6" w:space="0"/>
              <w:left w:val="single" w:color="964305" w:sz="6" w:space="0"/>
              <w:bottom w:val="single" w:color="FFFFFF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 w14:paraId="77B824A6">
            <w:pPr>
              <w:pStyle w:val="2"/>
              <w:keepNext w:val="0"/>
              <w:keepLines w:val="0"/>
              <w:widowControl/>
              <w:suppressLineNumbers w:val="0"/>
              <w:kinsoku/>
              <w:wordWrap w:val="0"/>
              <w:overflowPunct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60 mg/次，3次/d</w:t>
            </w:r>
          </w:p>
        </w:tc>
      </w:tr>
      <w:tr w14:paraId="3B088DCE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868" w:type="pct"/>
            <w:vMerge w:val="restart"/>
            <w:tcBorders>
              <w:top w:val="single" w:color="964305" w:sz="6" w:space="0"/>
              <w:left w:val="single" w:color="964305" w:sz="6" w:space="0"/>
              <w:bottom w:val="single" w:color="FFFFFF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 w14:paraId="67403EE1">
            <w:pPr>
              <w:pStyle w:val="2"/>
              <w:keepNext w:val="0"/>
              <w:keepLines w:val="0"/>
              <w:widowControl/>
              <w:suppressLineNumbers w:val="0"/>
              <w:kinsoku/>
              <w:wordWrap w:val="0"/>
              <w:overflowPunct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有机铁</w:t>
            </w:r>
          </w:p>
        </w:tc>
        <w:tc>
          <w:tcPr>
            <w:tcW w:w="2042" w:type="pct"/>
            <w:tcBorders>
              <w:top w:val="single" w:color="964305" w:sz="6" w:space="0"/>
              <w:left w:val="single" w:color="964305" w:sz="6" w:space="0"/>
              <w:bottom w:val="single" w:color="FFFFFF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 w14:paraId="70A86B84">
            <w:pPr>
              <w:pStyle w:val="2"/>
              <w:keepNext w:val="0"/>
              <w:keepLines w:val="0"/>
              <w:widowControl/>
              <w:suppressLineNumbers w:val="0"/>
              <w:kinsoku/>
              <w:wordWrap w:val="0"/>
              <w:overflowPunct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多糖铁复合物</w:t>
            </w:r>
          </w:p>
        </w:tc>
        <w:tc>
          <w:tcPr>
            <w:tcW w:w="2089" w:type="pct"/>
            <w:tcBorders>
              <w:top w:val="single" w:color="964305" w:sz="6" w:space="0"/>
              <w:left w:val="single" w:color="964305" w:sz="6" w:space="0"/>
              <w:bottom w:val="single" w:color="FFFFFF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 w14:paraId="0F6B7F58">
            <w:pPr>
              <w:pStyle w:val="2"/>
              <w:keepNext w:val="0"/>
              <w:keepLines w:val="0"/>
              <w:widowControl/>
              <w:suppressLineNumbers w:val="0"/>
              <w:kinsoku/>
              <w:wordWrap w:val="0"/>
              <w:overflowPunct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300 mg/次，1次/d</w:t>
            </w:r>
          </w:p>
        </w:tc>
      </w:tr>
      <w:tr w14:paraId="73EF5F0C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868" w:type="pct"/>
            <w:vMerge w:val="continue"/>
            <w:tcBorders>
              <w:top w:val="single" w:color="964305" w:sz="6" w:space="0"/>
              <w:left w:val="single" w:color="964305" w:sz="6" w:space="0"/>
              <w:bottom w:val="single" w:color="FFFFFF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 w14:paraId="2D846971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42" w:type="pct"/>
            <w:tcBorders>
              <w:top w:val="single" w:color="964305" w:sz="6" w:space="0"/>
              <w:left w:val="single" w:color="964305" w:sz="6" w:space="0"/>
              <w:bottom w:val="single" w:color="FFFFFF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 w14:paraId="2A6F69E6">
            <w:pPr>
              <w:pStyle w:val="2"/>
              <w:keepNext w:val="0"/>
              <w:keepLines w:val="0"/>
              <w:widowControl/>
              <w:suppressLineNumbers w:val="0"/>
              <w:kinsoku/>
              <w:wordWrap w:val="0"/>
              <w:overflowPunct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蛋白琥珀酸铁口服溶液</w:t>
            </w:r>
          </w:p>
        </w:tc>
        <w:tc>
          <w:tcPr>
            <w:tcW w:w="2089" w:type="pct"/>
            <w:tcBorders>
              <w:top w:val="single" w:color="964305" w:sz="6" w:space="0"/>
              <w:left w:val="single" w:color="964305" w:sz="6" w:space="0"/>
              <w:bottom w:val="single" w:color="FFFFFF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 w14:paraId="05E673D5">
            <w:pPr>
              <w:pStyle w:val="2"/>
              <w:keepNext w:val="0"/>
              <w:keepLines w:val="0"/>
              <w:widowControl/>
              <w:suppressLineNumbers w:val="0"/>
              <w:kinsoku/>
              <w:wordWrap w:val="0"/>
              <w:overflowPunct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40 mg/次，2次/d</w:t>
            </w:r>
          </w:p>
        </w:tc>
      </w:tr>
      <w:tr w14:paraId="40793B07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868" w:type="pct"/>
            <w:vMerge w:val="continue"/>
            <w:tcBorders>
              <w:top w:val="single" w:color="964305" w:sz="6" w:space="0"/>
              <w:left w:val="single" w:color="964305" w:sz="6" w:space="0"/>
              <w:bottom w:val="single" w:color="FFFFFF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 w14:paraId="1F97DBF1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42" w:type="pct"/>
            <w:tcBorders>
              <w:top w:val="single" w:color="964305" w:sz="6" w:space="0"/>
              <w:left w:val="single" w:color="964305" w:sz="6" w:space="0"/>
              <w:bottom w:val="single" w:color="FFFFFF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 w14:paraId="0331365D">
            <w:pPr>
              <w:pStyle w:val="2"/>
              <w:keepNext w:val="0"/>
              <w:keepLines w:val="0"/>
              <w:widowControl/>
              <w:suppressLineNumbers w:val="0"/>
              <w:kinsoku/>
              <w:wordWrap w:val="0"/>
              <w:overflowPunct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富马酸亚铁</w:t>
            </w:r>
          </w:p>
        </w:tc>
        <w:tc>
          <w:tcPr>
            <w:tcW w:w="2089" w:type="pct"/>
            <w:tcBorders>
              <w:top w:val="single" w:color="964305" w:sz="6" w:space="0"/>
              <w:left w:val="single" w:color="964305" w:sz="6" w:space="0"/>
              <w:bottom w:val="single" w:color="FFFFFF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 w14:paraId="3DD4CEE2">
            <w:pPr>
              <w:pStyle w:val="2"/>
              <w:keepNext w:val="0"/>
              <w:keepLines w:val="0"/>
              <w:widowControl/>
              <w:suppressLineNumbers w:val="0"/>
              <w:kinsoku/>
              <w:wordWrap w:val="0"/>
              <w:overflowPunct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60-120 mg/次，3次/d</w:t>
            </w:r>
          </w:p>
        </w:tc>
      </w:tr>
      <w:tr w14:paraId="0C3573D6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868" w:type="pct"/>
            <w:vMerge w:val="continue"/>
            <w:tcBorders>
              <w:top w:val="single" w:color="964305" w:sz="6" w:space="0"/>
              <w:left w:val="single" w:color="964305" w:sz="6" w:space="0"/>
              <w:bottom w:val="single" w:color="FFFFFF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 w14:paraId="09990814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42" w:type="pct"/>
            <w:tcBorders>
              <w:top w:val="single" w:color="964305" w:sz="6" w:space="0"/>
              <w:left w:val="single" w:color="964305" w:sz="6" w:space="0"/>
              <w:bottom w:val="single" w:color="FFFFFF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 w14:paraId="6C2C4E18">
            <w:pPr>
              <w:pStyle w:val="2"/>
              <w:keepNext w:val="0"/>
              <w:keepLines w:val="0"/>
              <w:widowControl/>
              <w:suppressLineNumbers w:val="0"/>
              <w:kinsoku/>
              <w:wordWrap w:val="0"/>
              <w:overflowPunct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琥珀酸亚铁</w:t>
            </w:r>
          </w:p>
        </w:tc>
        <w:tc>
          <w:tcPr>
            <w:tcW w:w="2089" w:type="pct"/>
            <w:tcBorders>
              <w:top w:val="single" w:color="964305" w:sz="6" w:space="0"/>
              <w:left w:val="single" w:color="964305" w:sz="6" w:space="0"/>
              <w:bottom w:val="single" w:color="FFFFFF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 w14:paraId="4F96B4D1">
            <w:pPr>
              <w:pStyle w:val="2"/>
              <w:keepNext w:val="0"/>
              <w:keepLines w:val="0"/>
              <w:widowControl/>
              <w:suppressLineNumbers w:val="0"/>
              <w:kinsoku/>
              <w:wordWrap w:val="0"/>
              <w:overflowPunct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100-200 mg/次，2次/d</w:t>
            </w:r>
          </w:p>
        </w:tc>
      </w:tr>
      <w:tr w14:paraId="1547DA15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868" w:type="pct"/>
            <w:vMerge w:val="continue"/>
            <w:tcBorders>
              <w:top w:val="single" w:color="964305" w:sz="6" w:space="0"/>
              <w:left w:val="single" w:color="964305" w:sz="6" w:space="0"/>
              <w:bottom w:val="single" w:color="FFFFFF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 w14:paraId="3F42A44E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42" w:type="pct"/>
            <w:tcBorders>
              <w:top w:val="single" w:color="964305" w:sz="6" w:space="0"/>
              <w:left w:val="single" w:color="964305" w:sz="6" w:space="0"/>
              <w:bottom w:val="single" w:color="FFFFFF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 w14:paraId="395578C0">
            <w:pPr>
              <w:pStyle w:val="2"/>
              <w:keepNext w:val="0"/>
              <w:keepLines w:val="0"/>
              <w:widowControl/>
              <w:suppressLineNumbers w:val="0"/>
              <w:kinsoku/>
              <w:wordWrap w:val="0"/>
              <w:overflowPunct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葡萄糖酸亚铁</w:t>
            </w:r>
          </w:p>
        </w:tc>
        <w:tc>
          <w:tcPr>
            <w:tcW w:w="2089" w:type="pct"/>
            <w:tcBorders>
              <w:top w:val="single" w:color="964305" w:sz="6" w:space="0"/>
              <w:left w:val="single" w:color="964305" w:sz="6" w:space="0"/>
              <w:bottom w:val="single" w:color="FFFFFF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 w14:paraId="15FCB6B8">
            <w:pPr>
              <w:pStyle w:val="2"/>
              <w:keepNext w:val="0"/>
              <w:keepLines w:val="0"/>
              <w:widowControl/>
              <w:suppressLineNumbers w:val="0"/>
              <w:kinsoku/>
              <w:wordWrap w:val="0"/>
              <w:overflowPunct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300-600 mg/次，3次/d</w:t>
            </w:r>
          </w:p>
        </w:tc>
      </w:tr>
      <w:tr w14:paraId="04E5ABE8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868" w:type="pct"/>
            <w:tcBorders>
              <w:top w:val="single" w:color="964305" w:sz="6" w:space="0"/>
              <w:left w:val="single" w:color="964305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 w14:paraId="6756C5B8">
            <w:pPr>
              <w:pStyle w:val="2"/>
              <w:keepNext w:val="0"/>
              <w:keepLines w:val="0"/>
              <w:widowControl/>
              <w:suppressLineNumbers w:val="0"/>
              <w:kinsoku/>
              <w:wordWrap w:val="0"/>
              <w:overflowPunct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中药补铁剂</w:t>
            </w:r>
          </w:p>
        </w:tc>
        <w:tc>
          <w:tcPr>
            <w:tcW w:w="2042" w:type="pct"/>
            <w:tcBorders>
              <w:top w:val="single" w:color="964305" w:sz="6" w:space="0"/>
              <w:left w:val="single" w:color="964305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 w14:paraId="68677D73">
            <w:pPr>
              <w:pStyle w:val="2"/>
              <w:keepNext w:val="0"/>
              <w:keepLines w:val="0"/>
              <w:widowControl/>
              <w:suppressLineNumbers w:val="0"/>
              <w:kinsoku/>
              <w:wordWrap w:val="0"/>
              <w:overflowPunct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健脾生血片</w:t>
            </w:r>
          </w:p>
        </w:tc>
        <w:tc>
          <w:tcPr>
            <w:tcW w:w="2089" w:type="pct"/>
            <w:tcBorders>
              <w:top w:val="single" w:color="964305" w:sz="6" w:space="0"/>
              <w:left w:val="single" w:color="964305" w:sz="6" w:space="0"/>
            </w:tcBorders>
            <w:shd w:val="clear" w:color="auto" w:fill="FFFFFF"/>
            <w:noWrap w:val="0"/>
            <w:tcMar>
              <w:left w:w="105" w:type="dxa"/>
              <w:right w:w="105" w:type="dxa"/>
            </w:tcMar>
            <w:vAlign w:val="center"/>
          </w:tcPr>
          <w:p w14:paraId="0F7FB1FC">
            <w:pPr>
              <w:pStyle w:val="2"/>
              <w:keepNext w:val="0"/>
              <w:keepLines w:val="0"/>
              <w:widowControl/>
              <w:suppressLineNumbers w:val="0"/>
              <w:kinsoku/>
              <w:wordWrap w:val="0"/>
              <w:overflowPunct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每次1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</w:rPr>
              <w:t>-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3片，3次/d</w:t>
            </w:r>
          </w:p>
        </w:tc>
      </w:tr>
    </w:tbl>
    <w:p w14:paraId="6A6523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shadow w:val="0"/>
          <w:emboss w:val="0"/>
          <w:imprint w:val="0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/>
          <w:i w:val="0"/>
          <w:shadow w:val="0"/>
          <w:emboss w:val="0"/>
          <w:imprint w:val="0"/>
          <w:sz w:val="32"/>
          <w:szCs w:val="32"/>
          <w:u w:val="none"/>
          <w:lang w:eastAsia="zh-CN"/>
        </w:rPr>
        <w:t>口服铁剂治疗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注意事项：</w:t>
      </w:r>
      <w:r>
        <w:rPr>
          <w:rFonts w:hint="eastAsia" w:ascii="仿宋_GB2312" w:hAnsi="仿宋_GB2312" w:eastAsia="仿宋_GB2312" w:cs="仿宋_GB2312"/>
          <w:b w:val="0"/>
          <w:bCs/>
          <w:i w:val="0"/>
          <w:shadow w:val="0"/>
          <w:emboss w:val="0"/>
          <w:imprint w:val="0"/>
          <w:sz w:val="32"/>
          <w:szCs w:val="32"/>
          <w:u w:val="none"/>
          <w:lang w:eastAsia="zh-CN"/>
        </w:rPr>
        <w:t>严重贫血时，可以增加口服铁剂量，提高补铁效果，或选择口服吸收率高的补铁药物</w:t>
      </w:r>
      <w:r>
        <w:rPr>
          <w:rFonts w:hint="eastAsia" w:ascii="仿宋_GB2312" w:hAnsi="仿宋_GB2312" w:eastAsia="仿宋_GB2312" w:cs="仿宋_GB2312"/>
          <w:b w:val="0"/>
          <w:bCs/>
          <w:i w:val="0"/>
          <w:shadow w:val="0"/>
          <w:emboss w:val="0"/>
          <w:imprint w:val="0"/>
          <w:sz w:val="32"/>
          <w:szCs w:val="32"/>
          <w:u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i w:val="0"/>
          <w:shadow w:val="0"/>
          <w:emboss w:val="0"/>
          <w:imprint w:val="0"/>
          <w:sz w:val="32"/>
          <w:szCs w:val="32"/>
          <w:u w:val="none"/>
          <w:lang w:eastAsia="zh-CN"/>
        </w:rPr>
        <w:t>但对于轻症或ID患者，中等剂量的铁，隔天服用对铁调素影响小、铁吸收效率高</w:t>
      </w:r>
      <w:r>
        <w:rPr>
          <w:rFonts w:hint="eastAsia" w:ascii="仿宋_GB2312" w:hAnsi="仿宋_GB2312" w:eastAsia="仿宋_GB2312" w:cs="仿宋_GB2312"/>
          <w:b w:val="0"/>
          <w:bCs/>
          <w:i w:val="0"/>
          <w:shadow w:val="0"/>
          <w:emboss w:val="0"/>
          <w:imprint w:val="0"/>
          <w:sz w:val="32"/>
          <w:szCs w:val="32"/>
          <w:u w:val="none"/>
          <w:lang w:val="en-US"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/>
          <w:i w:val="0"/>
          <w:shadow w:val="0"/>
          <w:emboss w:val="0"/>
          <w:imprint w:val="0"/>
          <w:sz w:val="32"/>
          <w:szCs w:val="32"/>
          <w:u w:val="none"/>
          <w:lang w:eastAsia="zh-CN"/>
        </w:rPr>
        <w:t>若无明显胃肠道反应，一般不应将铁剂与食物一同服用</w:t>
      </w:r>
      <w:r>
        <w:rPr>
          <w:rFonts w:hint="eastAsia" w:ascii="仿宋_GB2312" w:hAnsi="仿宋_GB2312" w:eastAsia="仿宋_GB2312" w:cs="仿宋_GB2312"/>
          <w:b w:val="0"/>
          <w:bCs/>
          <w:i w:val="0"/>
          <w:shadow w:val="0"/>
          <w:emboss w:val="0"/>
          <w:imprint w:val="0"/>
          <w:sz w:val="32"/>
          <w:szCs w:val="32"/>
          <w:u w:val="none"/>
          <w:lang w:val="en-US"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/>
          <w:i w:val="0"/>
          <w:shadow w:val="0"/>
          <w:emboss w:val="0"/>
          <w:imprint w:val="0"/>
          <w:sz w:val="32"/>
          <w:szCs w:val="32"/>
          <w:u w:val="none"/>
          <w:lang w:eastAsia="zh-CN"/>
        </w:rPr>
        <w:t>每天口服100 mg元素铁，持续治疗4-6周后，Hb没有变化，或上升&lt;10 g/L，可能有以下原因：诊断有误、患者依从性差，未按医嘱服药；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避免与茶同服（抑制吸收）；</w:t>
      </w:r>
      <w:r>
        <w:rPr>
          <w:rFonts w:hint="eastAsia" w:ascii="仿宋_GB2312" w:hAnsi="仿宋_GB2312" w:eastAsia="仿宋_GB2312" w:cs="仿宋_GB2312"/>
          <w:b w:val="0"/>
          <w:bCs/>
          <w:i w:val="0"/>
          <w:shadow w:val="0"/>
          <w:emboss w:val="0"/>
          <w:imprint w:val="0"/>
          <w:sz w:val="32"/>
          <w:szCs w:val="32"/>
          <w:u w:val="none"/>
          <w:lang w:eastAsia="zh-CN"/>
        </w:rPr>
        <w:t>所用口服铁剂不能很好吸收等</w:t>
      </w:r>
      <w:r>
        <w:rPr>
          <w:rFonts w:hint="eastAsia" w:ascii="仿宋_GB2312" w:hAnsi="仿宋_GB2312" w:eastAsia="仿宋_GB2312" w:cs="仿宋_GB2312"/>
          <w:b w:val="0"/>
          <w:bCs/>
          <w:i w:val="0"/>
          <w:shadow w:val="0"/>
          <w:emboss w:val="0"/>
          <w:imprint w:val="0"/>
          <w:sz w:val="32"/>
          <w:szCs w:val="32"/>
          <w:u w:val="none"/>
          <w:lang w:val="en-US"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/>
          <w:i w:val="0"/>
          <w:shadow w:val="0"/>
          <w:emboss w:val="0"/>
          <w:imprint w:val="0"/>
          <w:sz w:val="32"/>
          <w:szCs w:val="32"/>
          <w:u w:val="none"/>
          <w:lang w:eastAsia="zh-CN"/>
        </w:rPr>
        <w:t>部分糖尿病患者由于饮食控制严格导致ID/IDA，口服补铁治疗时需注意药物的佐剂中是否含糖</w:t>
      </w:r>
      <w:r>
        <w:rPr>
          <w:rFonts w:hint="eastAsia" w:ascii="仿宋_GB2312" w:hAnsi="仿宋_GB2312" w:eastAsia="仿宋_GB2312" w:cs="仿宋_GB2312"/>
          <w:b w:val="0"/>
          <w:bCs/>
          <w:i w:val="0"/>
          <w:shadow w:val="0"/>
          <w:emboss w:val="0"/>
          <w:imprint w:val="0"/>
          <w:sz w:val="32"/>
          <w:szCs w:val="32"/>
          <w:u w:val="none"/>
          <w:lang w:val="en-US"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/>
          <w:i w:val="0"/>
          <w:shadow w:val="0"/>
          <w:emboss w:val="0"/>
          <w:imprint w:val="0"/>
          <w:sz w:val="32"/>
          <w:szCs w:val="32"/>
          <w:u w:val="none"/>
          <w:lang w:eastAsia="zh-CN"/>
        </w:rPr>
        <w:t>疗程要长，既要Hb恢复正常，也要保证储存铁达标</w:t>
      </w:r>
      <w:r>
        <w:rPr>
          <w:rFonts w:hint="eastAsia" w:ascii="仿宋_GB2312" w:hAnsi="仿宋_GB2312" w:eastAsia="仿宋_GB2312" w:cs="仿宋_GB2312"/>
          <w:b w:val="0"/>
          <w:bCs/>
          <w:i w:val="0"/>
          <w:shadow w:val="0"/>
          <w:emboss w:val="0"/>
          <w:imprint w:val="0"/>
          <w:sz w:val="32"/>
          <w:szCs w:val="32"/>
          <w:u w:val="none"/>
          <w:lang w:val="en-US" w:eastAsia="zh-CN"/>
        </w:rPr>
        <w:t>。</w:t>
      </w:r>
    </w:p>
    <w:p w14:paraId="3DFC9A2F">
      <w:pPr>
        <w:numPr>
          <w:ilvl w:val="0"/>
          <w:numId w:val="0"/>
        </w:numPr>
        <w:overflowPunct/>
        <w:spacing w:line="360" w:lineRule="auto"/>
        <w:ind w:left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shadow w:val="0"/>
          <w:emboss w:val="0"/>
          <w:imprint w:val="0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shadow w:val="0"/>
          <w:emboss w:val="0"/>
          <w:imprint w:val="0"/>
          <w:sz w:val="32"/>
          <w:szCs w:val="32"/>
          <w:u w:val="none"/>
          <w:lang w:eastAsia="zh-CN"/>
        </w:rPr>
        <w:t xml:space="preserve">    口服铁剂后，如有效可表现为外周血网织红细胞增高，上升的高峰在治疗第5~10天；2周后血红蛋白浓度上升，一般贫血在治疗2个月后恢复正常。同时临床症状逐步得到改善、血红蛋白恢复正常，然而此时，仍需小剂量铁剂维持治疗3~6个月以补充体内储存铁。</w:t>
      </w:r>
    </w:p>
    <w:p w14:paraId="4D0A3B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- 静脉铁剂：  </w:t>
      </w:r>
    </w:p>
    <w:p w14:paraId="644074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- 计算公式：所需补铁量（mg）=[目标Hb浓度-实际Hb浓度（g/L）]×体重（kg）+1000（男性）/600（女性）。</w:t>
      </w:r>
    </w:p>
    <w:p w14:paraId="1EF3DF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 xml:space="preserve">- 适应证： </w:t>
      </w:r>
    </w:p>
    <w:p w14:paraId="22B6D454">
      <w:pPr>
        <w:numPr>
          <w:ilvl w:val="0"/>
          <w:numId w:val="5"/>
        </w:numPr>
        <w:overflowPunct/>
        <w:spacing w:line="360" w:lineRule="auto"/>
        <w:ind w:left="420" w:leftChars="0" w:hanging="420" w:firstLine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imprint w:val="0"/>
          <w:color w:val="auto"/>
          <w:sz w:val="32"/>
          <w:szCs w:val="32"/>
          <w:u w:val="none"/>
          <w:shd w:val="clear" w:color="auto" w:fill="auto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imprint w:val="0"/>
          <w:color w:val="auto"/>
          <w:sz w:val="32"/>
          <w:szCs w:val="32"/>
          <w:u w:val="none"/>
          <w:shd w:val="clear" w:color="auto" w:fill="auto"/>
          <w:lang w:eastAsia="zh-CN"/>
        </w:rPr>
        <w:t>患者不能或不愿忍受口服铁剂的胃肠道不良反应，例如老年人和妊娠中、晚期孕妇（已有妊娠相关胃肠道症状），以及现有胃肠道疾病可能会加重口服铁剂不良反应的患者</w:t>
      </w:r>
    </w:p>
    <w:p w14:paraId="7CA758C7">
      <w:pPr>
        <w:numPr>
          <w:ilvl w:val="0"/>
          <w:numId w:val="6"/>
        </w:numPr>
        <w:overflowPunct/>
        <w:spacing w:line="360" w:lineRule="auto"/>
        <w:ind w:left="420" w:leftChars="0" w:hanging="420" w:firstLine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imprint w:val="0"/>
          <w:color w:val="auto"/>
          <w:sz w:val="32"/>
          <w:szCs w:val="32"/>
          <w:u w:val="none"/>
          <w:shd w:val="clear" w:color="auto" w:fill="auto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imprint w:val="0"/>
          <w:color w:val="auto"/>
          <w:sz w:val="32"/>
          <w:szCs w:val="32"/>
          <w:u w:val="none"/>
          <w:shd w:val="clear" w:color="auto" w:fill="auto"/>
          <w:lang w:eastAsia="zh-CN"/>
        </w:rPr>
        <w:t>患者更愿意通过1-2次就诊就补足贮存铁，而不愿耗时几个月</w:t>
      </w:r>
    </w:p>
    <w:p w14:paraId="1E91A936">
      <w:pPr>
        <w:numPr>
          <w:ilvl w:val="0"/>
          <w:numId w:val="7"/>
        </w:numPr>
        <w:overflowPunct/>
        <w:spacing w:line="360" w:lineRule="auto"/>
        <w:ind w:left="420" w:leftChars="0" w:hanging="420" w:firstLine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imprint w:val="0"/>
          <w:color w:val="auto"/>
          <w:sz w:val="32"/>
          <w:szCs w:val="32"/>
          <w:u w:val="none"/>
          <w:shd w:val="clear" w:color="auto" w:fill="auto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imprint w:val="0"/>
          <w:color w:val="auto"/>
          <w:sz w:val="32"/>
          <w:szCs w:val="32"/>
          <w:u w:val="none"/>
          <w:shd w:val="clear" w:color="auto" w:fill="auto"/>
          <w:lang w:eastAsia="zh-CN"/>
        </w:rPr>
        <w:t>持续性失血，且超过了口服铁剂满足补铁需求的能力（例如严重子宫出血、黏膜毛细血管扩张）</w:t>
      </w:r>
    </w:p>
    <w:p w14:paraId="6F39CA0F">
      <w:pPr>
        <w:numPr>
          <w:ilvl w:val="0"/>
          <w:numId w:val="8"/>
        </w:numPr>
        <w:overflowPunct/>
        <w:spacing w:line="360" w:lineRule="auto"/>
        <w:ind w:left="420" w:leftChars="0" w:hanging="420" w:firstLine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imprint w:val="0"/>
          <w:color w:val="auto"/>
          <w:sz w:val="32"/>
          <w:szCs w:val="32"/>
          <w:u w:val="none"/>
          <w:shd w:val="clear" w:color="auto" w:fill="auto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imprint w:val="0"/>
          <w:color w:val="auto"/>
          <w:sz w:val="32"/>
          <w:szCs w:val="32"/>
          <w:u w:val="none"/>
          <w:shd w:val="clear" w:color="auto" w:fill="auto"/>
          <w:lang w:eastAsia="zh-CN"/>
        </w:rPr>
        <w:t>解剖或生理情况影响口服铁剂的吸收</w:t>
      </w:r>
    </w:p>
    <w:p w14:paraId="53472187">
      <w:pPr>
        <w:numPr>
          <w:ilvl w:val="0"/>
          <w:numId w:val="9"/>
        </w:numPr>
        <w:overflowPunct/>
        <w:spacing w:line="360" w:lineRule="auto"/>
        <w:ind w:left="420" w:leftChars="0" w:hanging="420" w:firstLine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imprint w:val="0"/>
          <w:color w:val="auto"/>
          <w:sz w:val="32"/>
          <w:szCs w:val="32"/>
          <w:u w:val="none"/>
          <w:shd w:val="clear" w:color="auto" w:fill="auto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imprint w:val="0"/>
          <w:color w:val="auto"/>
          <w:sz w:val="32"/>
          <w:szCs w:val="32"/>
          <w:u w:val="none"/>
          <w:shd w:val="clear" w:color="auto" w:fill="auto"/>
          <w:lang w:eastAsia="zh-CN"/>
        </w:rPr>
        <w:t>合并炎症而干扰铁代谢稳态</w:t>
      </w:r>
    </w:p>
    <w:p w14:paraId="471FC7BF">
      <w:pPr>
        <w:numPr>
          <w:ilvl w:val="0"/>
          <w:numId w:val="10"/>
        </w:numPr>
        <w:overflowPunct/>
        <w:spacing w:line="360" w:lineRule="auto"/>
        <w:ind w:left="420" w:leftChars="0" w:hanging="420" w:firstLine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imprint w:val="0"/>
          <w:color w:val="auto"/>
          <w:sz w:val="32"/>
          <w:szCs w:val="32"/>
          <w:u w:val="none"/>
          <w:shd w:val="clear" w:color="auto" w:fill="auto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imprint w:val="0"/>
          <w:color w:val="auto"/>
          <w:sz w:val="32"/>
          <w:szCs w:val="32"/>
          <w:u w:val="none"/>
          <w:shd w:val="clear" w:color="auto" w:fill="auto"/>
          <w:lang w:eastAsia="zh-CN"/>
        </w:rPr>
        <w:t>预期失血量&gt;500 ml的手术，或&lt;6周内需行手术的铁缺乏患者</w:t>
      </w:r>
    </w:p>
    <w:p w14:paraId="63B347D2">
      <w:pPr>
        <w:numPr>
          <w:ilvl w:val="0"/>
          <w:numId w:val="0"/>
        </w:numPr>
        <w:overflowPunct/>
        <w:spacing w:line="360" w:lineRule="auto"/>
        <w:ind w:leftChars="0" w:firstLine="320" w:firstLineChars="1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imprint w:val="0"/>
          <w:color w:val="auto"/>
          <w:sz w:val="32"/>
          <w:szCs w:val="32"/>
          <w:u w:val="none"/>
          <w:shd w:val="clear" w:color="auto" w:fill="auto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imprint w:val="0"/>
          <w:color w:val="auto"/>
          <w:sz w:val="32"/>
          <w:szCs w:val="32"/>
          <w:u w:val="none"/>
          <w:shd w:val="clear" w:color="auto" w:fill="auto"/>
          <w:lang w:val="en-US" w:eastAsia="zh-CN"/>
        </w:rPr>
        <w:t xml:space="preserve">- 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imprint w:val="0"/>
          <w:color w:val="auto"/>
          <w:sz w:val="32"/>
          <w:szCs w:val="32"/>
          <w:u w:val="none"/>
          <w:shd w:val="clear" w:color="auto" w:fill="auto"/>
          <w:lang w:eastAsia="zh-CN"/>
        </w:rPr>
        <w:t>禁忌证：</w:t>
      </w:r>
    </w:p>
    <w:p w14:paraId="101AE80E">
      <w:pPr>
        <w:numPr>
          <w:ilvl w:val="0"/>
          <w:numId w:val="11"/>
        </w:numPr>
        <w:overflowPunct/>
        <w:spacing w:line="360" w:lineRule="auto"/>
        <w:ind w:left="420" w:leftChars="0" w:hanging="420" w:firstLine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imprint w:val="0"/>
          <w:color w:val="auto"/>
          <w:sz w:val="32"/>
          <w:szCs w:val="32"/>
          <w:u w:val="none"/>
          <w:shd w:val="clear" w:color="auto" w:fill="auto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imprint w:val="0"/>
          <w:color w:val="auto"/>
          <w:sz w:val="32"/>
          <w:szCs w:val="32"/>
          <w:u w:val="none"/>
          <w:shd w:val="clear" w:color="auto" w:fill="auto"/>
          <w:lang w:eastAsia="zh-CN"/>
        </w:rPr>
        <w:t>妊娠早期孕妇</w:t>
      </w:r>
    </w:p>
    <w:p w14:paraId="2CABC47E">
      <w:pPr>
        <w:numPr>
          <w:ilvl w:val="0"/>
          <w:numId w:val="12"/>
        </w:numPr>
        <w:overflowPunct/>
        <w:spacing w:line="360" w:lineRule="auto"/>
        <w:ind w:left="420" w:leftChars="0" w:hanging="420" w:firstLine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imprint w:val="0"/>
          <w:color w:val="auto"/>
          <w:sz w:val="32"/>
          <w:szCs w:val="32"/>
          <w:u w:val="none"/>
          <w:shd w:val="clear" w:color="auto" w:fill="auto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imprint w:val="0"/>
          <w:color w:val="auto"/>
          <w:sz w:val="32"/>
          <w:szCs w:val="32"/>
          <w:u w:val="none"/>
          <w:shd w:val="clear" w:color="auto" w:fill="auto"/>
          <w:lang w:eastAsia="zh-CN"/>
        </w:rPr>
        <w:t>铁剂过敏者</w:t>
      </w:r>
    </w:p>
    <w:p w14:paraId="6E77DF4A">
      <w:pPr>
        <w:numPr>
          <w:ilvl w:val="0"/>
          <w:numId w:val="0"/>
        </w:numPr>
        <w:overflowPunct/>
        <w:spacing w:line="360" w:lineRule="auto"/>
        <w:ind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imprint w:val="0"/>
          <w:color w:val="auto"/>
          <w:sz w:val="32"/>
          <w:szCs w:val="32"/>
          <w:u w:val="none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imprint w:val="0"/>
          <w:color w:val="auto"/>
          <w:sz w:val="32"/>
          <w:szCs w:val="32"/>
          <w:u w:val="none"/>
          <w:shd w:val="clear" w:color="auto" w:fill="auto"/>
          <w:lang w:eastAsia="zh-CN"/>
        </w:rPr>
        <w:t>静脉铁剂的常用类型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imprint w:val="0"/>
          <w:color w:val="auto"/>
          <w:sz w:val="32"/>
          <w:szCs w:val="32"/>
          <w:u w:val="none"/>
          <w:shd w:val="clear" w:color="auto" w:fill="auto"/>
          <w:lang w:eastAsia="zh-CN"/>
        </w:rPr>
        <w:t>低分子右旋糖酐铁（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>第二代，需皮试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imprint w:val="0"/>
          <w:color w:val="auto"/>
          <w:sz w:val="32"/>
          <w:szCs w:val="32"/>
          <w:u w:val="none"/>
          <w:shd w:val="clear" w:color="auto" w:fill="auto"/>
          <w:lang w:eastAsia="zh-CN"/>
        </w:rPr>
        <w:t>）、葡萄糖酸亚铁（ferrous gluconate，FG）、蔗糖铁（iron Sucrose，IS，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>第二代，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imprint w:val="0"/>
          <w:color w:val="auto"/>
          <w:sz w:val="32"/>
          <w:szCs w:val="32"/>
          <w:u w:val="none"/>
          <w:shd w:val="clear" w:color="auto" w:fill="auto"/>
          <w:lang w:eastAsia="zh-CN"/>
        </w:rPr>
        <w:t>）、纳米氧化铁（ferumoxytol）、羧基麦芽糖铁（ferric carboxymaltose，FCM，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>第三代，无过敏风险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imprint w:val="0"/>
          <w:color w:val="auto"/>
          <w:sz w:val="32"/>
          <w:szCs w:val="32"/>
          <w:u w:val="none"/>
          <w:shd w:val="clear" w:color="auto" w:fill="auto"/>
          <w:lang w:eastAsia="zh-CN"/>
        </w:rPr>
        <w:t>）、异麦芽糖酐铁（iron isomaltoside，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>第三代，高剂量单次应用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imprint w:val="0"/>
          <w:color w:val="auto"/>
          <w:sz w:val="32"/>
          <w:szCs w:val="32"/>
          <w:u w:val="none"/>
          <w:shd w:val="clear" w:color="auto" w:fill="auto"/>
          <w:lang w:eastAsia="zh-CN"/>
        </w:rPr>
        <w:t>）等。</w:t>
      </w:r>
    </w:p>
    <w:p w14:paraId="07192C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imprint w:val="0"/>
          <w:color w:val="auto"/>
          <w:sz w:val="32"/>
          <w:szCs w:val="32"/>
          <w:u w:val="none"/>
          <w:shd w:val="clear" w:color="auto" w:fill="auto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>3. 输血治疗：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imprint w:val="0"/>
          <w:color w:val="auto"/>
          <w:sz w:val="32"/>
          <w:szCs w:val="32"/>
          <w:u w:val="none"/>
          <w:shd w:val="clear" w:color="auto" w:fill="auto"/>
          <w:lang w:eastAsia="zh-CN"/>
        </w:rPr>
        <w:t>适合于急性或贫血症状严重影响到生理机能的IDA患者；国内输血指征是Hb&lt;60 g/L，老年和心脏功能差的患者，可适当放宽至≤80 g/L。</w:t>
      </w:r>
    </w:p>
    <w:p w14:paraId="0842D2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>4. 中医中药：中医学认为，心主血、肝藏血、脾统血、肾藏精，故贫血的发生与心、脾、肝、肾的功能失调，脏腑虚损密切相关。因此贫血的主要病因是脾胃虚弱、气血两虚、肝肾亏虚等，治疗上应以益气健牌、补益气血、滋补肝肾为主要原则。常用的中药制剂如：益血生胶囊、归参补血片、益中生血片、复方阿胶颗粒、益气维血颗粒等。</w:t>
      </w:r>
    </w:p>
    <w:p w14:paraId="1B548B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 xml:space="preserve">5. 特殊人群管理  </w:t>
      </w:r>
    </w:p>
    <w:p w14:paraId="7A4921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 xml:space="preserve">- 妊娠期：  </w:t>
      </w:r>
    </w:p>
    <w:p w14:paraId="61F43E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 xml:space="preserve">  - 孕早期Hb&lt;110g/L需补铁，首选口服铁剂，重度贫血（Hb&lt;70g/L）需少量多次输血；  </w:t>
      </w:r>
    </w:p>
    <w:p w14:paraId="061C841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 xml:space="preserve">  - 注意：早孕期避免静脉补铁，可能诱发过敏反应。  </w:t>
      </w:r>
    </w:p>
    <w:p w14:paraId="79FE0D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 xml:space="preserve">- 慢性肾病：  </w:t>
      </w:r>
    </w:p>
    <w:p w14:paraId="514F1D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 xml:space="preserve">  - 绝对性IDA（SF≤100μg/L且TSAT≤20%）需静脉补铁，血液透析患者优先选择静脉途径；  </w:t>
      </w:r>
    </w:p>
    <w:p w14:paraId="65C9374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 xml:space="preserve">  - 监测指标：每3个月复查铁蛋白及转铁蛋白饱和度。  </w:t>
      </w:r>
    </w:p>
    <w:p w14:paraId="026F5D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 xml:space="preserve">- 心力衰竭：  </w:t>
      </w:r>
    </w:p>
    <w:p w14:paraId="7038BA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 xml:space="preserve">  - 射血分数&lt;45%且SF&lt;100μg/L时建议静脉补铁，改善运动耐量及生活质量。  </w:t>
      </w:r>
    </w:p>
    <w:p w14:paraId="04EB80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 xml:space="preserve">6. 治疗误区与注意事项  </w:t>
      </w:r>
    </w:p>
    <w:p w14:paraId="0B77BD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 xml:space="preserve">- 过早停药：血红蛋白正常后需继续补铁3-6个月以恢复铁储备；  </w:t>
      </w:r>
    </w:p>
    <w:p w14:paraId="387FF0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 xml:space="preserve">- 忽视病因：未纠正慢性失血或吸收障碍将导致复发，如克罗恩病患者需同步治疗原发病；  </w:t>
      </w:r>
    </w:p>
    <w:p w14:paraId="4072CC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 xml:space="preserve">- 静脉铁剂风险：过敏反应（发生率0.6%-1.5%），需严格遵循剂量计算及输注规范。  </w:t>
      </w:r>
    </w:p>
    <w:p w14:paraId="3939425C"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shd w:val="clear" w:color="auto" w:fill="auto"/>
          <w:lang w:val="en-US" w:eastAsia="zh-CN"/>
        </w:rPr>
        <w:t xml:space="preserve">预防与长期管理 </w:t>
      </w:r>
    </w:p>
    <w:p w14:paraId="094542BA">
      <w:pPr>
        <w:numPr>
          <w:ilvl w:val="0"/>
          <w:numId w:val="0"/>
        </w:numPr>
        <w:overflowPunct/>
        <w:spacing w:line="360" w:lineRule="auto"/>
        <w:ind w:left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imprint w:val="0"/>
          <w:color w:val="auto"/>
          <w:sz w:val="32"/>
          <w:szCs w:val="32"/>
          <w:u w:val="none"/>
          <w:shd w:val="clear" w:color="auto" w:fill="auto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>1. 饮食调整：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imprint w:val="0"/>
          <w:color w:val="auto"/>
          <w:sz w:val="32"/>
          <w:szCs w:val="32"/>
          <w:u w:val="none"/>
          <w:shd w:val="clear" w:color="auto" w:fill="auto"/>
          <w:lang w:eastAsia="zh-CN"/>
        </w:rPr>
        <w:t>饮食规律、营养搭配合理，改善烹调习惯，勿将蔬菜烹煮时间过长。平时可适当多吃含铁丰富的食物、如瘦肉、猪肝、蛋黄、海带、发菜、紫菜、木耳、香菇、豆类等。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>避免抑制因素：餐后1小时饮茶，减少植酸盐（全谷物）摄入。</w:t>
      </w:r>
    </w:p>
    <w:p w14:paraId="2D79B5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 xml:space="preserve">   - 血红素铁：每日红肉（牛肉、猪肉）50-100g，动物肝脏10-20g（每周2次）；  </w:t>
      </w:r>
    </w:p>
    <w:p w14:paraId="3062FF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 xml:space="preserve">   - 非血红素铁：豆类、深绿色蔬菜（如菠菜）搭配维生素C（柑橘、猕猴桃）提高吸收率；  </w:t>
      </w:r>
    </w:p>
    <w:p w14:paraId="06B4D58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 xml:space="preserve">2. 高危人群监测：  </w:t>
      </w:r>
    </w:p>
    <w:p w14:paraId="45B2654F">
      <w:pPr>
        <w:numPr>
          <w:ilvl w:val="0"/>
          <w:numId w:val="0"/>
        </w:numPr>
        <w:overflowPunct/>
        <w:spacing w:line="360" w:lineRule="auto"/>
        <w:ind w:left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imprint w:val="0"/>
          <w:color w:val="auto"/>
          <w:sz w:val="32"/>
          <w:szCs w:val="32"/>
          <w:u w:val="none"/>
          <w:shd w:val="clear" w:color="auto" w:fill="auto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imprint w:val="0"/>
          <w:color w:val="auto"/>
          <w:sz w:val="32"/>
          <w:szCs w:val="32"/>
          <w:u w:val="none"/>
          <w:shd w:val="clear" w:color="auto" w:fill="auto"/>
          <w:lang w:val="en-US" w:eastAsia="zh-CN"/>
        </w:rPr>
        <w:t xml:space="preserve">- 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imprint w:val="0"/>
          <w:color w:val="auto"/>
          <w:sz w:val="32"/>
          <w:szCs w:val="32"/>
          <w:u w:val="none"/>
          <w:shd w:val="clear" w:color="auto" w:fill="auto"/>
          <w:lang w:eastAsia="zh-CN"/>
        </w:rPr>
        <w:t>加强孕妇、产后及哺乳妇女的营养，定期产前及产后检查，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>孕早期及孕晚期筛查Hb及铁蛋白，建立个性化补铁方案；</w:t>
      </w:r>
    </w:p>
    <w:p w14:paraId="5081EF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imprint w:val="0"/>
          <w:color w:val="auto"/>
          <w:sz w:val="32"/>
          <w:szCs w:val="32"/>
          <w:u w:val="none"/>
          <w:shd w:val="clear" w:color="auto" w:fill="auto"/>
          <w:lang w:val="en-US" w:eastAsia="zh-CN"/>
        </w:rPr>
        <w:t xml:space="preserve">- 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imprint w:val="0"/>
          <w:color w:val="auto"/>
          <w:sz w:val="32"/>
          <w:szCs w:val="32"/>
          <w:u w:val="none"/>
          <w:shd w:val="clear" w:color="auto" w:fill="auto"/>
          <w:lang w:eastAsia="zh-CN"/>
        </w:rPr>
        <w:t>注意婴幼儿的合理喂养，及时添加辅食，定期体检。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 xml:space="preserve"> </w:t>
      </w:r>
    </w:p>
    <w:p w14:paraId="09625AA6">
      <w:pPr>
        <w:numPr>
          <w:ilvl w:val="0"/>
          <w:numId w:val="0"/>
        </w:numPr>
        <w:overflowPunct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imprint w:val="0"/>
          <w:color w:val="auto"/>
          <w:sz w:val="32"/>
          <w:szCs w:val="32"/>
          <w:u w:val="none"/>
          <w:shd w:val="clear" w:color="auto" w:fill="auto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imprint w:val="0"/>
          <w:color w:val="auto"/>
          <w:sz w:val="32"/>
          <w:szCs w:val="32"/>
          <w:u w:val="none"/>
          <w:shd w:val="clear" w:color="auto" w:fill="auto"/>
          <w:lang w:val="en-US" w:eastAsia="zh-CN"/>
        </w:rPr>
        <w:t xml:space="preserve">- 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imprint w:val="0"/>
          <w:color w:val="auto"/>
          <w:sz w:val="32"/>
          <w:szCs w:val="32"/>
          <w:u w:val="none"/>
          <w:shd w:val="clear" w:color="auto" w:fill="auto"/>
          <w:lang w:eastAsia="zh-CN"/>
        </w:rPr>
        <w:t>对工作中会接触到一些化学制剂或物理射线者，应严格执行防护措施，遵守操作规程，避免对造血系统造成损伤。</w:t>
      </w:r>
    </w:p>
    <w:p w14:paraId="66006D90">
      <w:pPr>
        <w:numPr>
          <w:ilvl w:val="0"/>
          <w:numId w:val="0"/>
        </w:numPr>
        <w:overflowPunct/>
        <w:spacing w:line="360" w:lineRule="auto"/>
        <w:ind w:left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imprint w:val="0"/>
          <w:color w:val="auto"/>
          <w:sz w:val="32"/>
          <w:szCs w:val="32"/>
          <w:u w:val="none"/>
          <w:shd w:val="clear" w:color="auto" w:fill="auto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imprint w:val="0"/>
          <w:color w:val="auto"/>
          <w:sz w:val="32"/>
          <w:szCs w:val="32"/>
          <w:u w:val="none"/>
          <w:shd w:val="clear" w:color="auto" w:fill="auto"/>
          <w:lang w:val="en-US" w:eastAsia="zh-CN"/>
        </w:rPr>
        <w:t xml:space="preserve">- 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imprint w:val="0"/>
          <w:color w:val="auto"/>
          <w:sz w:val="32"/>
          <w:szCs w:val="32"/>
          <w:u w:val="none"/>
          <w:shd w:val="clear" w:color="auto" w:fill="auto"/>
          <w:lang w:eastAsia="zh-CN"/>
        </w:rPr>
        <w:t>对各种失血性疾病，如钩虫病、痔、功能性子宫出血等，应积极进行治疗；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 xml:space="preserve">慢性病患者纳入贫血随访管理，每3-6个月复查血常规及铁代谢指标。 </w:t>
      </w:r>
    </w:p>
    <w:p w14:paraId="32A1B7B3">
      <w:pPr>
        <w:numPr>
          <w:ilvl w:val="0"/>
          <w:numId w:val="0"/>
        </w:numPr>
        <w:overflowPunct/>
        <w:spacing w:line="360" w:lineRule="auto"/>
        <w:ind w:left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imprint w:val="0"/>
          <w:color w:val="auto"/>
          <w:sz w:val="32"/>
          <w:szCs w:val="32"/>
          <w:u w:val="none"/>
          <w:shd w:val="clear" w:color="auto" w:fill="auto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imprint w:val="0"/>
          <w:color w:val="auto"/>
          <w:sz w:val="32"/>
          <w:szCs w:val="32"/>
          <w:u w:val="none"/>
          <w:shd w:val="clear" w:color="auto" w:fill="auto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shadow w:val="0"/>
          <w:emboss w:val="0"/>
          <w:imprint w:val="0"/>
          <w:color w:val="auto"/>
          <w:sz w:val="32"/>
          <w:szCs w:val="32"/>
          <w:u w:val="none"/>
          <w:shd w:val="clear" w:color="auto" w:fill="auto"/>
          <w:lang w:eastAsia="zh-CN"/>
        </w:rPr>
        <w:t xml:space="preserve"> 对有胃肠道疾病者（口炎性腹泻、乳糜泻、胃全切除术后、回肠切除术后等）以及素食者，应定时补充维生素B12和叶酸。</w:t>
      </w:r>
    </w:p>
    <w:p w14:paraId="789687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 xml:space="preserve">3. 患者教育：  </w:t>
      </w:r>
    </w:p>
    <w:p w14:paraId="795015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 xml:space="preserve">   - 指导正确服用铁剂，关注大便颜色变化（黑便可能为正常现象）；  </w:t>
      </w:r>
    </w:p>
    <w:p w14:paraId="55B9EF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 xml:space="preserve">   - 提示异食癖、反甲等早期症状，及时就医。  </w:t>
      </w:r>
    </w:p>
    <w:p w14:paraId="6FAF57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 xml:space="preserve">4. 社区与多学科协作：  </w:t>
      </w:r>
    </w:p>
    <w:p w14:paraId="037C12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 xml:space="preserve">   - 推广贫血筛查纳入老年人体检项目，联合血液科、消化科、妇产科建立MDT诊疗模式；  </w:t>
      </w:r>
    </w:p>
    <w:p w14:paraId="436509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 xml:space="preserve">   - 开发移动医疗工具，实现贫血患者远程监测与用药提醒。  </w:t>
      </w:r>
    </w:p>
    <w:p w14:paraId="068F11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 xml:space="preserve"> 六、未来研究方向与展望  </w:t>
      </w:r>
    </w:p>
    <w:p w14:paraId="4281E4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 xml:space="preserve">1. 新型补铁剂研发：靶向肠道铁吸收机制的纳米载体、口服铁剂联合促吸收肽的研究；  </w:t>
      </w:r>
    </w:p>
    <w:p w14:paraId="02CE6A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 xml:space="preserve">2. 个体化治疗：基于基因检测（如HFE基因突变）制定补铁策略；  </w:t>
      </w:r>
    </w:p>
    <w:p w14:paraId="1055C9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 xml:space="preserve">3. 人工智能辅助诊断：通过机器学习算法整合多维度临床数据，提升早期诊断准确性；  </w:t>
      </w:r>
    </w:p>
    <w:p w14:paraId="28CD73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 w:color="auto" w:fill="auto"/>
          <w:lang w:val="en-US" w:eastAsia="zh-CN"/>
        </w:rPr>
        <w:t xml:space="preserve">4. 公共卫生政策优化：在贫困地区推广铁强化食品（如铁酱油），降低IDA发病率。  </w:t>
      </w:r>
    </w:p>
    <w:p w14:paraId="6693F8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0FB897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452E47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320E13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00D265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656CB1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3F4B25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4A46E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附单项选择题</w:t>
      </w:r>
      <w:bookmarkStart w:id="0" w:name="_GoBack"/>
      <w:bookmarkEnd w:id="0"/>
    </w:p>
    <w:p w14:paraId="4EDFE0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1. 缺铁性贫血的根本机制是  </w:t>
      </w:r>
    </w:p>
    <w:p w14:paraId="15A0968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A. 铁吸收障碍  </w:t>
      </w:r>
    </w:p>
    <w:p w14:paraId="173F9D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B. 铁利用障碍  </w:t>
      </w:r>
    </w:p>
    <w:p w14:paraId="0DF49B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C. 机体内贮存铁耗尽  </w:t>
      </w:r>
    </w:p>
    <w:p w14:paraId="382AC8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D. 红细胞生成减少  </w:t>
      </w:r>
    </w:p>
    <w:p w14:paraId="513B3A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E. 血红蛋白消耗殆尽    </w:t>
      </w:r>
    </w:p>
    <w:p w14:paraId="323893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2. 缺铁性贫血的典型细胞形态学表现为  </w:t>
      </w:r>
    </w:p>
    <w:p w14:paraId="164796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A. 正细胞性贫血  </w:t>
      </w:r>
    </w:p>
    <w:p w14:paraId="1ECF8D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B. 大细胞性贫血  </w:t>
      </w:r>
    </w:p>
    <w:p w14:paraId="01E697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C. 巨幼细胞性贫血  </w:t>
      </w:r>
    </w:p>
    <w:p w14:paraId="648961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D. 小细胞低色素性贫血  </w:t>
      </w:r>
    </w:p>
    <w:p w14:paraId="31893D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E. 小细胞正色素性贫血  </w:t>
      </w:r>
    </w:p>
    <w:p w14:paraId="7001D2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3. 以下哪类人群缺铁性贫血发病率最高？  </w:t>
      </w:r>
    </w:p>
    <w:p w14:paraId="7F212B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A. 发达国家老年人  </w:t>
      </w:r>
    </w:p>
    <w:p w14:paraId="4025D3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B. 经济发达地区儿童  </w:t>
      </w:r>
    </w:p>
    <w:p w14:paraId="0DA1F4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C. 育龄期女性  </w:t>
      </w:r>
    </w:p>
    <w:p w14:paraId="5D6F4D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D. 肥胖男性  </w:t>
      </w:r>
    </w:p>
    <w:p w14:paraId="5E1DA2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E. 慢性肾病患者   </w:t>
      </w:r>
    </w:p>
    <w:p w14:paraId="374E3D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4. 慢性失血最常导致哪种贫血？  </w:t>
      </w:r>
    </w:p>
    <w:p w14:paraId="246160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A. 缺铁性贫血  </w:t>
      </w:r>
    </w:p>
    <w:p w14:paraId="1EAB79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B. 慢性病性贫血  </w:t>
      </w:r>
    </w:p>
    <w:p w14:paraId="38B603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C. 巨幼细胞性贫血  </w:t>
      </w:r>
    </w:p>
    <w:p w14:paraId="04864C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D. 再生障碍性贫血  </w:t>
      </w:r>
    </w:p>
    <w:p w14:paraId="451AA4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E. 溶血性贫血   </w:t>
      </w:r>
    </w:p>
    <w:p w14:paraId="2E834C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5. 诊断缺铁性贫血最敏感的指标是  </w:t>
      </w:r>
    </w:p>
    <w:p w14:paraId="56D57E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A. 血红蛋白降低  </w:t>
      </w:r>
    </w:p>
    <w:p w14:paraId="0839844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B. 血清铁蛋白＜15μg/L  </w:t>
      </w:r>
    </w:p>
    <w:p w14:paraId="51D48F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C. 骨髓铁染色阴性  </w:t>
      </w:r>
    </w:p>
    <w:p w14:paraId="4CFFBE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D. 总铁结合力增高  </w:t>
      </w:r>
    </w:p>
    <w:p w14:paraId="28EF3E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E. 红细胞游离原卟啉增高   </w:t>
      </w:r>
    </w:p>
    <w:p w14:paraId="1878C0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6. 缺铁性贫血患者铁代谢特征错误的是  </w:t>
      </w:r>
    </w:p>
    <w:p w14:paraId="0414FF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A. 血清铁降低  </w:t>
      </w:r>
    </w:p>
    <w:p w14:paraId="1BF54E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B. 总铁结合力增高  </w:t>
      </w:r>
    </w:p>
    <w:p w14:paraId="7394D0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C. 转铁蛋白饱和度＜15%  </w:t>
      </w:r>
    </w:p>
    <w:p w14:paraId="117E74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D. 骨髓外铁增多  </w:t>
      </w:r>
    </w:p>
    <w:p w14:paraId="4D31B3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E. 红细胞游离原卟啉＞0.9μmol/L    </w:t>
      </w:r>
    </w:p>
    <w:p w14:paraId="4575D4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7. 缺铁性贫血治疗的首要原则是  </w:t>
      </w:r>
    </w:p>
    <w:p w14:paraId="4A4E64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A. 口服铁剂  </w:t>
      </w:r>
    </w:p>
    <w:p w14:paraId="1CDFB4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B. 静脉补铁  </w:t>
      </w:r>
    </w:p>
    <w:p w14:paraId="3F9A89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C. 输血治疗  </w:t>
      </w:r>
    </w:p>
    <w:p w14:paraId="562C8C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D. 去除病因  </w:t>
      </w:r>
    </w:p>
    <w:p w14:paraId="11BDE1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E. 增加红肉摄入  </w:t>
      </w:r>
    </w:p>
    <w:p w14:paraId="24E4FA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8. 妊娠期IDA患者血红蛋白＜70g/L时，首选治疗是  </w:t>
      </w:r>
    </w:p>
    <w:p w14:paraId="1EDD16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A. 口服琥珀酸亚铁  </w:t>
      </w:r>
    </w:p>
    <w:p w14:paraId="4454AA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B. 肌注右旋糖酐铁  </w:t>
      </w:r>
    </w:p>
    <w:p w14:paraId="5E7C41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C. 少量多次输血  </w:t>
      </w:r>
    </w:p>
    <w:p w14:paraId="41F148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D. 静脉注射蔗糖铁  </w:t>
      </w:r>
    </w:p>
    <w:p w14:paraId="7DFD6F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E. 补充维生素B12   </w:t>
      </w:r>
    </w:p>
    <w:p w14:paraId="121476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9. 患者，女，35岁，月经量多2年，乏力、头晕1月。血常规示Hb76g/L，MCV68fl，血清铁蛋白3μg/L。下一步应优先进行  </w:t>
      </w:r>
    </w:p>
    <w:p w14:paraId="16CD4B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A. 胃镜检查  </w:t>
      </w:r>
    </w:p>
    <w:p w14:paraId="2F0AAD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B. 骨髓穿刺  </w:t>
      </w:r>
    </w:p>
    <w:p w14:paraId="2AE4F0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C. 补充叶酸  </w:t>
      </w:r>
    </w:p>
    <w:p w14:paraId="270A5B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D. 口服维生素C  </w:t>
      </w:r>
    </w:p>
    <w:p w14:paraId="43E381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E. 输血治疗    </w:t>
      </w:r>
    </w:p>
    <w:p w14:paraId="4D857E1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10. 关于铁剂吸收的叙述，错误的是  </w:t>
      </w:r>
    </w:p>
    <w:p w14:paraId="6E14B9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A. 主要在十二指肠和空肠上段吸收  </w:t>
      </w:r>
    </w:p>
    <w:p w14:paraId="20EC16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B. 植物铁吸收率高于动物铁  </w:t>
      </w:r>
    </w:p>
    <w:p w14:paraId="2D745E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C. 维生素C可促进吸收  </w:t>
      </w:r>
    </w:p>
    <w:p w14:paraId="5A98A0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D. 茶叶中的鞣酸抑制吸收  </w:t>
      </w:r>
    </w:p>
    <w:p w14:paraId="7EDD8B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E. 铁剂与抗酸药同服影响吸收   </w:t>
      </w:r>
    </w:p>
    <w:p w14:paraId="429315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Calibri" w:hAnsi="Calibri" w:eastAsia="宋体" w:cs="Calibri"/>
          <w:b/>
          <w:i w:val="0"/>
          <w:shadow w:val="0"/>
          <w:emboss w:val="0"/>
          <w:imprint w:val="0"/>
          <w:sz w:val="21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</w:t>
      </w:r>
    </w:p>
    <w:sectPr>
      <w:pgSz w:w="11906" w:h="16838"/>
      <w:pgMar w:top="1814" w:right="1587" w:bottom="1701" w:left="1587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8EEA20"/>
    <w:multiLevelType w:val="singleLevel"/>
    <w:tmpl w:val="968EEA20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BB28028C"/>
    <w:multiLevelType w:val="singleLevel"/>
    <w:tmpl w:val="BB28028C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BF4054D3"/>
    <w:multiLevelType w:val="singleLevel"/>
    <w:tmpl w:val="BF4054D3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CC81A4C4"/>
    <w:multiLevelType w:val="singleLevel"/>
    <w:tmpl w:val="CC81A4C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4">
    <w:nsid w:val="CD1BCED8"/>
    <w:multiLevelType w:val="singleLevel"/>
    <w:tmpl w:val="CD1BCED8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DEA86DC4"/>
    <w:multiLevelType w:val="singleLevel"/>
    <w:tmpl w:val="DEA86DC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6">
    <w:nsid w:val="FAB3034A"/>
    <w:multiLevelType w:val="singleLevel"/>
    <w:tmpl w:val="FAB3034A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7">
    <w:nsid w:val="FF8B9CFD"/>
    <w:multiLevelType w:val="singleLevel"/>
    <w:tmpl w:val="FF8B9CFD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28D2CE21"/>
    <w:multiLevelType w:val="singleLevel"/>
    <w:tmpl w:val="28D2CE2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9">
    <w:nsid w:val="2C8ABA5C"/>
    <w:multiLevelType w:val="singleLevel"/>
    <w:tmpl w:val="2C8ABA5C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0">
    <w:nsid w:val="6574023A"/>
    <w:multiLevelType w:val="singleLevel"/>
    <w:tmpl w:val="6574023A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1">
    <w:nsid w:val="69B43C46"/>
    <w:multiLevelType w:val="singleLevel"/>
    <w:tmpl w:val="69B43C4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2">
    <w:nsid w:val="7317BE86"/>
    <w:multiLevelType w:val="singleLevel"/>
    <w:tmpl w:val="7317BE86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5"/>
  </w:num>
  <w:num w:numId="5">
    <w:abstractNumId w:val="6"/>
  </w:num>
  <w:num w:numId="6">
    <w:abstractNumId w:val="12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9DD1D4B"/>
    <w:rsid w:val="00B5443F"/>
    <w:rsid w:val="01587217"/>
    <w:rsid w:val="18EE69F8"/>
    <w:rsid w:val="2B750DF0"/>
    <w:rsid w:val="40B914A8"/>
    <w:rsid w:val="55157E83"/>
    <w:rsid w:val="59602DCE"/>
    <w:rsid w:val="69DD1D4B"/>
    <w:rsid w:val="6E062690"/>
    <w:rsid w:val="6E9F0CE1"/>
    <w:rsid w:val="710D35E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3731</Words>
  <Characters>4203</Characters>
  <Lines>0</Lines>
  <Paragraphs>0</Paragraphs>
  <TotalTime>10</TotalTime>
  <ScaleCrop>false</ScaleCrop>
  <LinksUpToDate>false</LinksUpToDate>
  <CharactersWithSpaces>4414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2025-03-11T03:11:00Z</dcterms:created>
  <dc:creator>芸儿</dc:creator>
  <cp:lastModifiedBy>轻舞飞扬</cp:lastModifiedBy>
  <dcterms:modified xsi:type="dcterms:W3CDTF">2026-01-06T08:02:05Z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4A67418D080844BB92D76EC4C40538C7_13</vt:lpwstr>
  </property>
  <property fmtid="{D5CDD505-2E9C-101B-9397-08002B2CF9AE}" pid="4" name="KSOTemplateDocerSaveRecord">
    <vt:lpwstr>eyJoZGlkIjoiODBmNTMzZjkzYzI0YjY0ZTVkNDZkMTM4NTY2ZGEwNjciLCJ1c2VySWQiOiI1OTU4NDk1MTUifQ==</vt:lpwstr>
  </property>
</Properties>
</file>